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30" w:lineRule="exact"/>
        <w:ind w:right="0" w:rightChars="0"/>
        <w:jc w:val="center"/>
        <w:textAlignment w:val="auto"/>
        <w:outlineLvl w:val="9"/>
        <w:rPr>
          <w:rFonts w:hint="eastAsia" w:asciiTheme="majorEastAsia" w:hAnsiTheme="majorEastAsia" w:eastAsiaTheme="majorEastAsia" w:cstheme="majorEastAsia"/>
          <w:b/>
          <w:bCs/>
          <w:sz w:val="28"/>
          <w:szCs w:val="28"/>
          <w:lang w:val="en-US" w:eastAsia="zh-CN"/>
        </w:rPr>
      </w:pPr>
      <w:bookmarkStart w:id="0" w:name="OLE_LINK2"/>
      <w:r>
        <w:rPr>
          <w:rFonts w:hint="eastAsia" w:asciiTheme="majorEastAsia" w:hAnsiTheme="majorEastAsia" w:eastAsiaTheme="majorEastAsia" w:cstheme="majorEastAsia"/>
          <w:b/>
          <w:bCs/>
          <w:sz w:val="28"/>
          <w:szCs w:val="28"/>
          <w:lang w:val="en-US" w:eastAsia="zh-CN"/>
        </w:rPr>
        <w:t>参展申请表（代合同）</w:t>
      </w:r>
    </w:p>
    <w:p>
      <w:pPr>
        <w:spacing w:line="600" w:lineRule="exact"/>
        <w:ind w:firstLine="48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24"/>
          <w:szCs w:val="24"/>
        </w:rPr>
        <w:t>国际物流创新展览会（2018</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广州）  2018.9.19-21日</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广州</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保利世贸博览馆</w:t>
      </w:r>
    </w:p>
    <w:tbl>
      <w:tblPr>
        <w:tblStyle w:val="3"/>
        <w:tblpPr w:leftFromText="180" w:rightFromText="180" w:vertAnchor="text" w:horzAnchor="page" w:tblpX="1284" w:tblpY="63"/>
        <w:tblOverlap w:val="never"/>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1964"/>
        <w:gridCol w:w="1254"/>
        <w:gridCol w:w="1036"/>
        <w:gridCol w:w="132"/>
        <w:gridCol w:w="2364"/>
        <w:gridCol w:w="1323"/>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trPr>
        <w:tc>
          <w:tcPr>
            <w:tcW w:w="2426"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参展单位名称</w:t>
            </w:r>
          </w:p>
        </w:tc>
        <w:tc>
          <w:tcPr>
            <w:tcW w:w="125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中文/英文</w:t>
            </w:r>
          </w:p>
        </w:tc>
        <w:tc>
          <w:tcPr>
            <w:tcW w:w="6088"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rPr>
        <w:tc>
          <w:tcPr>
            <w:tcW w:w="2426"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125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楣板</w:t>
            </w:r>
          </w:p>
        </w:tc>
        <w:tc>
          <w:tcPr>
            <w:tcW w:w="6088"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参展单位创新成果</w:t>
            </w:r>
          </w:p>
        </w:tc>
        <w:tc>
          <w:tcPr>
            <w:tcW w:w="7342"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通信地址</w:t>
            </w:r>
          </w:p>
        </w:tc>
        <w:tc>
          <w:tcPr>
            <w:tcW w:w="4786"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p>
        </w:tc>
        <w:tc>
          <w:tcPr>
            <w:tcW w:w="132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邮政编码</w:t>
            </w:r>
          </w:p>
        </w:tc>
        <w:tc>
          <w:tcPr>
            <w:tcW w:w="123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营业执照号码</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法人代表</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固话/传真</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APP、官方及专用网站</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联系人名称</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联系人职务</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手机联系方式</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联系人邮箱</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rPr>
        <w:tc>
          <w:tcPr>
            <w:tcW w:w="462"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both"/>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展位选择</w:t>
            </w:r>
          </w:p>
        </w:tc>
        <w:tc>
          <w:tcPr>
            <w:tcW w:w="196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升级标摊（9㎡/个）</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展品内容</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8" w:hRule="atLeast"/>
        </w:trPr>
        <w:tc>
          <w:tcPr>
            <w:tcW w:w="462" w:type="dxa"/>
            <w:vMerge w:val="continue"/>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196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标摊开口（单</w:t>
            </w:r>
            <w:r>
              <w:rPr>
                <w:rFonts w:hint="eastAsia" w:ascii="仿宋_GB2312" w:hAnsi="仿宋_GB2312" w:eastAsia="仿宋_GB2312" w:cs="仿宋_GB2312"/>
                <w:sz w:val="20"/>
                <w:szCs w:val="20"/>
                <w:lang w:val="en-US" w:eastAsia="zh-CN"/>
              </w:rPr>
              <w:t>/双</w:t>
            </w:r>
            <w:r>
              <w:rPr>
                <w:rFonts w:hint="eastAsia" w:ascii="仿宋_GB2312" w:hAnsi="仿宋_GB2312" w:eastAsia="仿宋_GB2312" w:cs="仿宋_GB2312"/>
                <w:sz w:val="20"/>
                <w:szCs w:val="20"/>
                <w:lang w:eastAsia="zh-CN"/>
              </w:rPr>
              <w:t>）</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参展品牌</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trPr>
        <w:tc>
          <w:tcPr>
            <w:tcW w:w="462" w:type="dxa"/>
            <w:vMerge w:val="continue"/>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196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光地（36㎡起）</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展品最大外型尺寸（mm）</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展位编号</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广告位置/版面</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展位费</w:t>
            </w:r>
          </w:p>
        </w:tc>
        <w:tc>
          <w:tcPr>
            <w:tcW w:w="229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c>
          <w:tcPr>
            <w:tcW w:w="249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广告费</w:t>
            </w:r>
          </w:p>
        </w:tc>
        <w:tc>
          <w:tcPr>
            <w:tcW w:w="255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其他参展要求及活动申请</w:t>
            </w:r>
          </w:p>
        </w:tc>
        <w:tc>
          <w:tcPr>
            <w:tcW w:w="7342"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4"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其他宣传活动申请</w:t>
            </w:r>
          </w:p>
        </w:tc>
        <w:tc>
          <w:tcPr>
            <w:tcW w:w="7342"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请将宣传稿件（围绕物流创新成果及经验）图文发与组委会办公室。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 w:hRule="atLeast"/>
        </w:trPr>
        <w:tc>
          <w:tcPr>
            <w:tcW w:w="242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总金额</w:t>
            </w:r>
          </w:p>
        </w:tc>
        <w:tc>
          <w:tcPr>
            <w:tcW w:w="7342"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0" w:hRule="atLeast"/>
        </w:trPr>
        <w:tc>
          <w:tcPr>
            <w:tcW w:w="9768" w:type="dxa"/>
            <w:gridSpan w:val="8"/>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备注：</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1、请各参展单位认真阅读《参展条款》，完整填写此表格，经国际物流创新展览会（2018·广州）组委会确认后，签名盖章（加盖骑缝章），将彩色扫描件发至指定邮箱wlcxz1@126.com或寄件至组委会办公室。</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请于提交参展申请表后5个工作日内至少支付50%展位费，逾期未付，承办方有权收回预留展位另作安排。余款支付时间为2018年8月1日前，若参展单位未按时支付余款或单方面取消参展计划，主办方有权解除合同并收回展位另做安排，且前期的展位费不予退还。</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3、展位配置</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eastAsia="zh-CN"/>
              </w:rPr>
              <w:t>升级</w:t>
            </w:r>
            <w:r>
              <w:rPr>
                <w:rFonts w:hint="eastAsia" w:ascii="仿宋_GB2312" w:hAnsi="仿宋_GB2312" w:eastAsia="仿宋_GB2312" w:cs="仿宋_GB2312"/>
                <w:sz w:val="20"/>
                <w:szCs w:val="20"/>
              </w:rPr>
              <w:t>标摊：围板、中英文楣板、一张咨询台、两折凳、100W射灯2盏、500V电源插座一个、废纸篓一个、地毯、加高楣板及加高两侧小楣板</w:t>
            </w:r>
            <w:r>
              <w:rPr>
                <w:rFonts w:hint="eastAsia" w:ascii="仿宋_GB2312" w:hAnsi="仿宋_GB2312" w:eastAsia="仿宋_GB2312" w:cs="仿宋_GB2312"/>
                <w:sz w:val="20"/>
                <w:szCs w:val="20"/>
                <w:lang w:eastAsia="zh-CN"/>
              </w:rPr>
              <w:t>。</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光地展位：主办单位提供空场地，参展商需自行承担展台搭建、装饰、展馆管理等相关费用。</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4、付款信息：</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户　　名：广州物协会议展览有限公司        帐　　号：1095 6000 0007 12741</w:t>
            </w: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开户银行：华夏银行股份有限公司广州珠江支行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5" w:hRule="atLeast"/>
        </w:trPr>
        <w:tc>
          <w:tcPr>
            <w:tcW w:w="4848" w:type="dxa"/>
            <w:gridSpan w:val="5"/>
            <w:tcBorders>
              <w:top w:val="single" w:color="auto" w:sz="4" w:space="0"/>
              <w:left w:val="single" w:color="auto" w:sz="4" w:space="0"/>
              <w:bottom w:val="single" w:color="auto" w:sz="4" w:space="0"/>
              <w:right w:val="single" w:color="auto" w:sz="4" w:space="0"/>
            </w:tcBorders>
          </w:tcPr>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承办单位（甲方）：广州物协会议展览有限公司</w:t>
            </w:r>
          </w:p>
          <w:p>
            <w:pPr>
              <w:spacing w:line="280" w:lineRule="exact"/>
              <w:rPr>
                <w:rFonts w:hint="eastAsia" w:ascii="仿宋_GB2312" w:hAnsi="仿宋_GB2312" w:eastAsia="仿宋_GB2312" w:cs="仿宋_GB2312"/>
                <w:sz w:val="20"/>
                <w:szCs w:val="20"/>
              </w:rPr>
            </w:pP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代表签名：</w:t>
            </w:r>
          </w:p>
          <w:p>
            <w:pPr>
              <w:spacing w:line="280" w:lineRule="exact"/>
              <w:rPr>
                <w:rFonts w:hint="eastAsia" w:ascii="仿宋_GB2312" w:hAnsi="仿宋_GB2312" w:eastAsia="仿宋_GB2312" w:cs="仿宋_GB2312"/>
                <w:sz w:val="20"/>
                <w:szCs w:val="20"/>
              </w:rPr>
            </w:pP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日期：</w:t>
            </w:r>
          </w:p>
        </w:tc>
        <w:tc>
          <w:tcPr>
            <w:tcW w:w="4920" w:type="dxa"/>
            <w:gridSpan w:val="3"/>
            <w:tcBorders>
              <w:top w:val="single" w:color="auto" w:sz="4" w:space="0"/>
              <w:left w:val="single" w:color="auto" w:sz="4" w:space="0"/>
              <w:bottom w:val="single" w:color="auto" w:sz="4" w:space="0"/>
              <w:right w:val="single" w:color="auto" w:sz="4" w:space="0"/>
            </w:tcBorders>
          </w:tcPr>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参展单位（乙方）：</w:t>
            </w:r>
          </w:p>
          <w:p>
            <w:pPr>
              <w:spacing w:line="280" w:lineRule="exact"/>
              <w:rPr>
                <w:rFonts w:hint="eastAsia" w:ascii="仿宋_GB2312" w:hAnsi="仿宋_GB2312" w:eastAsia="仿宋_GB2312" w:cs="仿宋_GB2312"/>
                <w:sz w:val="20"/>
                <w:szCs w:val="20"/>
              </w:rPr>
            </w:pP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代表签名：</w:t>
            </w:r>
          </w:p>
          <w:p>
            <w:pPr>
              <w:spacing w:line="280" w:lineRule="exact"/>
              <w:rPr>
                <w:rFonts w:hint="eastAsia" w:ascii="仿宋_GB2312" w:hAnsi="仿宋_GB2312" w:eastAsia="仿宋_GB2312" w:cs="仿宋_GB2312"/>
                <w:sz w:val="20"/>
                <w:szCs w:val="20"/>
              </w:rPr>
            </w:pPr>
          </w:p>
          <w:p>
            <w:pPr>
              <w:spacing w:line="280" w:lineRule="exac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日期：</w:t>
            </w:r>
          </w:p>
        </w:tc>
      </w:tr>
    </w:tbl>
    <w:p>
      <w:pPr>
        <w:tabs>
          <w:tab w:val="left" w:pos="1380"/>
          <w:tab w:val="left" w:pos="8640"/>
        </w:tabs>
        <w:spacing w:line="80" w:lineRule="exact"/>
        <w:ind w:firstLine="3360" w:firstLineChars="1400"/>
        <w:jc w:val="left"/>
        <w:rPr>
          <w:rFonts w:hint="eastAsia" w:ascii="仿宋_GB2312" w:hAnsi="仿宋_GB2312" w:eastAsia="仿宋_GB2312" w:cs="仿宋_GB2312"/>
          <w:color w:val="000000"/>
          <w:sz w:val="24"/>
          <w:szCs w:val="24"/>
        </w:rPr>
      </w:pPr>
    </w:p>
    <w:p>
      <w:pPr>
        <w:spacing w:line="600" w:lineRule="exact"/>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参展条款</w:t>
      </w:r>
    </w:p>
    <w:p>
      <w:pPr>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1、乙方在提交《参展申请表（代合同）》前必须认真阅读以下所有参展条款，提交申请表后，甲方视乙方已接受参展条款并愿意严格遵守。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2、展位分配。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（1）甲方负责所有展位合理分配，根据乙方的展品类型划分展区，安排展位。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为保证展会的整体形象与效果，乙方有义务服从甲方最终的展位调整与现场安排。</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乙方如需要变更展位或展位信息，需至少提前30天（即2018年8月18日前）向甲方提出书面申请。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如擅自更改展位及展位信息，所导致的一切损失和责任由乙方自行承担。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（2）如遇特殊情况，甲方有权重新分配展位、改变展位面积、移动或关闭展馆或展厅进出口及进行其他必要改动。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（3）上述情况下，若更改被证明无端损害乙方利益，乙方有权在收到更改通知后5个工作日内，通过书面形式向甲方提出调整分配或取消参展。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3、展位搭建。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（1）甲方负责标准展位的整体搭建。乙方自行安排光地展位的搭建，负责该展位的设计、搭建和安全，乙方有义务确保所进行一切工作须符合展览会《特装管理规定》，及保利世贸博览馆的技术规定。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对不符合整体形象及存在安全隐患的装修搭建，甲方有权要求乙方进行整改，乙方应在开展前1天（2018年9月18日前）整改完毕，如乙方未按要求整改或不提出充分理由回复甲方，甲方可取消乙方参展资格，不退还所有参展费，并对展位另行安排。</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4、展品展示。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乙方的展品必须摆放在展位的规定范围内，甲方对违反者有权警告或清理超出位置商品。乙方只允许在自己展位上进行洽谈与接待活动。展位在展会开放时间内必须有工作人员在场并摆放展品。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5、支付条款。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（1）乙方在指定日期支付所有参展款项，是获得和使用展位、取得进馆证、录入展览会会刊的先决条件。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（2）乙方全部款项必须汇入甲方指定账号。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6、知识产权。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乙方必须遵守大会根据国家有关规定制定的《知识产权保护行为的投诉及处理方法》，不得扰乱正常展览秩序，不得展出任何侵犯他人知识产权的展品，参展产品如经甲方认为涉嫌侵权，且乙方不能做出未侵权的有效举证的，甲方将立即采取遮盖、撤展等处理措施。如参展产品已由人民法院做出侵权判决或者由负责知识产权行政管理的部门做出侵权处理决定，并已发生法律效力的，乙方拒绝采取遮盖、撤展等处理措施时，甲方可以收回乙方的参展证件或者取消参展资格，因此而造成的任何后果由乙方自行承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7、免责条款。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（1）甲方对乙方自身员工和展商其他代表所引起的参展产品和展位装置的损坏不负任何责任。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（2）乙方在参展期间需对财产损毁、展品丢失或损坏、人身伤亡及等情形购买相关保险，否则相关责任由乙方自行承担。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8、变更条款。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甲方在能力范围内提供展会服务。甲方有权根据特殊情况（如灾情、疫情、战争、动乱等不可抗力因素，以及政府行为、参展商数量不足等情形）延迟、缩减、临时取消整个或部分展览会。若完全或部分延迟或缩减展览会，则协议适用于新的展期，除非乙方在被通告调整后的５个工作日内以书面形式提出异议，否则已确定的费用将不予任何减免，而乙方因此发生的费用也不予补偿。若临时取消整个展览会，甲方将无息退还已收取乙方所支付的款项，双方互不追究其他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9、补充条款。甲方将会向乙方发送《参展商手册》，请乙方及时认真阅读《参展商手册》的相关内容，并承诺严格遵守所有展会相关规定。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0" w:firstLineChars="200"/>
        <w:jc w:val="both"/>
        <w:textAlignment w:val="auto"/>
        <w:outlineLvl w:val="9"/>
      </w:pPr>
      <w:r>
        <w:rPr>
          <w:rFonts w:hint="eastAsia" w:ascii="仿宋_GB2312" w:hAnsi="仿宋_GB2312" w:eastAsia="仿宋_GB2312" w:cs="仿宋_GB2312"/>
          <w:sz w:val="20"/>
          <w:szCs w:val="20"/>
        </w:rPr>
        <w:t>10、以上条款最终解释权归甲方所有。</w:t>
      </w:r>
      <w:bookmarkEnd w:id="0"/>
      <w:bookmarkStart w:id="1" w:name="_GoBack"/>
      <w:bookmarkEnd w:id="1"/>
    </w:p>
    <w:sectPr>
      <w:pgSz w:w="11906" w:h="16838"/>
      <w:pgMar w:top="1040" w:right="1486" w:bottom="109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36486"/>
    <w:rsid w:val="67E3648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_H\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2018-03-28T08:25:00Z</dcterms:created>
  <dc:creator>Z_H</dc:creator>
  <cp:lastModifiedBy>Z_H</cp:lastModifiedBy>
  <dcterms:modified xsi:type="dcterms:W3CDTF">2018-03-28T08:26:03Z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