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</w:rPr>
        <w:t>附件：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加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回执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sz w:val="30"/>
          <w:szCs w:val="30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3.65pt;margin-top:25.75pt;height:0.05pt;width:171.75pt;z-index:251658240;mso-width-relative:page;mso-height-relative:page;" filled="f" stroked="t" coordsize="21600,21600" o:gfxdata="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I0iqMdcAAAAJAQAADwAAAAAAAAABACAAAAAiAAAAZHJz&#10;L2Rvd25yZXYueG1sUEsBAhQAFAAAAAgAh07iQDtLNO/MAQAAjwMAAA4AAAAAAAAAAQAgAAAAJg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  <w:lang w:val="en-US" w:eastAsia="zh-CN"/>
        </w:rPr>
        <w:t>院校</w:t>
      </w:r>
      <w:r>
        <w:rPr>
          <w:rFonts w:hint="eastAsia" w:ascii="仿宋_GB2312" w:hAnsi="仿宋_GB2312" w:eastAsia="仿宋_GB2312" w:cs="仿宋_GB2312"/>
          <w:sz w:val="30"/>
          <w:szCs w:val="30"/>
        </w:rPr>
        <w:t>名称：</w:t>
      </w:r>
    </w:p>
    <w:tbl>
      <w:tblPr>
        <w:tblStyle w:val="5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请贵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院校</w:t>
      </w:r>
      <w:r>
        <w:rPr>
          <w:rFonts w:hint="eastAsia" w:ascii="仿宋_GB2312" w:hAnsi="仿宋_GB2312" w:eastAsia="仿宋_GB2312" w:cs="仿宋_GB2312"/>
          <w:sz w:val="28"/>
          <w:szCs w:val="28"/>
        </w:rPr>
        <w:t>于2016年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日（星期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12：00</w:t>
      </w:r>
      <w:r>
        <w:rPr>
          <w:rFonts w:hint="eastAsia" w:ascii="仿宋_GB2312" w:hAnsi="仿宋_GB2312" w:eastAsia="仿宋_GB2312" w:cs="仿宋_GB2312"/>
          <w:sz w:val="28"/>
          <w:szCs w:val="28"/>
        </w:rPr>
        <w:t>前将参会回执电子版发送至协会邮箱（</w:t>
      </w:r>
      <w:r>
        <w:rPr>
          <w:rFonts w:ascii="仿宋_GB2312" w:hAnsi="仿宋_GB2312" w:eastAsia="仿宋_GB2312" w:cs="仿宋_GB2312"/>
          <w:sz w:val="28"/>
          <w:szCs w:val="28"/>
        </w:rPr>
        <w:fldChar w:fldCharType="begin"/>
      </w:r>
      <w:r>
        <w:rPr>
          <w:rFonts w:ascii="仿宋_GB2312" w:hAnsi="仿宋_GB2312" w:eastAsia="仿宋_GB2312" w:cs="仿宋_GB2312"/>
          <w:sz w:val="28"/>
          <w:szCs w:val="28"/>
        </w:rPr>
        <w:instrText xml:space="preserve"> HYPERLINK "mailto:</w:instrText>
      </w:r>
      <w:r>
        <w:rPr>
          <w:rFonts w:hint="eastAsia" w:ascii="仿宋_GB2312" w:hAnsi="仿宋_GB2312" w:eastAsia="仿宋_GB2312" w:cs="仿宋_GB2312"/>
          <w:sz w:val="28"/>
          <w:szCs w:val="28"/>
        </w:rPr>
        <w:instrText xml:space="preserve">gdwlxh@126.com</w:instrText>
      </w:r>
      <w:r>
        <w:rPr>
          <w:rFonts w:ascii="仿宋_GB2312" w:hAnsi="仿宋_GB2312" w:eastAsia="仿宋_GB2312" w:cs="仿宋_GB2312"/>
          <w:sz w:val="28"/>
          <w:szCs w:val="28"/>
        </w:rPr>
        <w:instrText xml:space="preserve">" </w:instrText>
      </w:r>
      <w:r>
        <w:rPr>
          <w:rFonts w:ascii="仿宋_GB2312" w:hAnsi="仿宋_GB2312" w:eastAsia="仿宋_GB2312" w:cs="仿宋_GB2312"/>
          <w:sz w:val="28"/>
          <w:szCs w:val="28"/>
        </w:rPr>
        <w:fldChar w:fldCharType="separate"/>
      </w:r>
      <w:r>
        <w:rPr>
          <w:rStyle w:val="3"/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gdwlzz2</w:t>
      </w:r>
      <w:r>
        <w:rPr>
          <w:rStyle w:val="3"/>
          <w:rFonts w:hint="eastAsia" w:ascii="仿宋_GB2312" w:hAnsi="仿宋_GB2312" w:eastAsia="仿宋_GB2312" w:cs="仿宋_GB2312"/>
          <w:sz w:val="28"/>
          <w:szCs w:val="28"/>
        </w:rPr>
        <w:t>@126.com</w:t>
      </w:r>
      <w:r>
        <w:rPr>
          <w:rFonts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>）。</w:t>
      </w:r>
    </w:p>
    <w:p/>
    <w:p/>
    <w:p/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18所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一流高职院校名单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深圳职业技术学院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深圳信息职业技术学院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顺德职业技术学院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广州番禺职业技术学院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广东轻工职业技术学院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广东科学技术职业学院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广东交通职业技术学院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广州民航职业技术学院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中山职业技术学院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广东机电职业技术学院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广东水利电力职业技术学院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广州铁路职业技术学院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广东食品药品职业学院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中山火炬职业技术学院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佛山职业技术学院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东莞职业技术学院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广东工贸职业技术学院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广东农工商职业技术学院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867A8"/>
    <w:rsid w:val="4A326E78"/>
    <w:rsid w:val="668142EB"/>
    <w:rsid w:val="67A867A8"/>
    <w:rsid w:val="76FA35E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2016-06-29T02:03:00Z</dcterms:created>
  <dc:creator>物流行业协会</dc:creator>
  <cp:lastModifiedBy>Administrator</cp:lastModifiedBy>
  <dcterms:modified xsi:type="dcterms:W3CDTF">2016-09-29T08:43:37Z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