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framePr w:hSpace="180" w:vSpace="180" w:wrap="around" w:vAnchor="margin" w:hAnchor="margin" w:y="1" w:anchorLock="1"/>
        <w:rPr>
          <w:color w:val="FF0000"/>
        </w:rPr>
      </w:pPr>
    </w:p>
    <w:p>
      <w:pPr>
        <w:pStyle w:val="29"/>
        <w:framePr w:w="5538" w:h="1410" w:hRule="exact" w:hSpace="181" w:vSpace="181" w:wrap="around" w:vAnchor="page" w:hAnchor="page" w:x="5220" w:y="936" w:anchorLock="1"/>
        <w:rPr>
          <w:color w:val="auto"/>
        </w:rPr>
      </w:pPr>
      <w:r>
        <w:rPr>
          <w:color w:val="auto"/>
        </w:rPr>
        <w:t>GDLIA</w:t>
      </w:r>
    </w:p>
    <w:p>
      <w:pPr>
        <w:pStyle w:val="14"/>
        <w:framePr w:w="9639" w:h="624" w:hRule="exact" w:hSpace="181" w:vSpace="181" w:wrap="around" w:vAnchor="page" w:hAnchor="page" w:x="1419" w:y="2286" w:anchorLock="1"/>
        <w:rPr>
          <w:color w:val="auto"/>
        </w:rPr>
      </w:pPr>
      <w:r>
        <w:rPr>
          <w:rFonts w:hint="eastAsia"/>
          <w:color w:val="auto"/>
        </w:rPr>
        <w:t>广东省</w:t>
      </w:r>
      <w:permStart w:id="0" w:edGrp="everyone"/>
      <w:permEnd w:id="0"/>
      <w:r>
        <w:rPr>
          <w:rFonts w:hint="eastAsia"/>
          <w:color w:val="auto"/>
        </w:rPr>
        <w:t>物流行业</w:t>
      </w:r>
      <w:r>
        <w:rPr>
          <w:rFonts w:hint="eastAsia"/>
          <w:color w:val="auto"/>
          <w:lang w:eastAsia="zh-CN"/>
        </w:rPr>
        <w:t>团体</w:t>
      </w:r>
      <w:r>
        <w:rPr>
          <w:rFonts w:hint="eastAsia"/>
          <w:color w:val="auto"/>
        </w:rPr>
        <w:t>标准</w:t>
      </w:r>
    </w:p>
    <w:p>
      <w:pPr>
        <w:pStyle w:val="12"/>
        <w:framePr w:w="9140" w:h="1242" w:hRule="exact" w:hSpace="284" w:wrap="around" w:vAnchor="page" w:hAnchor="page" w:x="1645" w:y="2910" w:anchorLock="1"/>
        <w:rPr>
          <w:color w:val="auto"/>
        </w:rPr>
      </w:pPr>
      <w:r>
        <w:rPr>
          <w:rFonts w:ascii="Times New Roman"/>
          <w:color w:val="auto"/>
        </w:rPr>
        <w:t>T/GDLIA 000</w:t>
      </w:r>
      <w:r>
        <w:rPr>
          <w:rFonts w:hint="eastAsia" w:ascii="Times New Roman"/>
          <w:color w:val="auto"/>
          <w:lang w:val="en-US" w:eastAsia="zh-CN"/>
        </w:rPr>
        <w:t>1</w:t>
      </w:r>
      <w:r>
        <w:rPr>
          <w:color w:val="auto"/>
        </w:rPr>
        <w:t>—</w:t>
      </w:r>
      <w:bookmarkStart w:id="0" w:name="StdNo2"/>
      <w:r>
        <w:rPr>
          <w:color w:val="auto"/>
        </w:rPr>
        <w:fldChar w:fldCharType="begin">
          <w:ffData>
            <w:name w:val="StdNo2"/>
            <w:enabled/>
            <w:calcOnExit w:val="0"/>
            <w:textInput>
              <w:default w:val="XXXX"/>
              <w:maxLength w:val="4"/>
            </w:textInput>
          </w:ffData>
        </w:fldChar>
      </w:r>
      <w:r>
        <w:rPr>
          <w:color w:val="auto"/>
        </w:rPr>
        <w:instrText xml:space="preserve"> FORMTEXT </w:instrText>
      </w:r>
      <w:r>
        <w:rPr>
          <w:color w:val="auto"/>
        </w:rPr>
        <w:fldChar w:fldCharType="separate"/>
      </w:r>
      <w:r>
        <w:rPr>
          <w:color w:val="auto"/>
        </w:rPr>
        <w:t>2017</w:t>
      </w:r>
      <w:r>
        <w:rPr>
          <w:color w:val="auto"/>
        </w:rPr>
        <w:fldChar w:fldCharType="end"/>
      </w:r>
      <w:bookmarkEnd w:id="0"/>
    </w:p>
    <w:tbl>
      <w:tblPr>
        <w:tblStyle w:val="9"/>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16"/>
              <w:framePr w:w="9140" w:h="1242" w:hRule="exact" w:hSpace="284" w:wrap="around" w:vAnchor="page" w:hAnchor="page" w:x="1645" w:y="2910" w:anchorLock="1"/>
              <w:rPr>
                <w:color w:val="auto"/>
              </w:rPr>
            </w:pPr>
            <w:bookmarkStart w:id="1" w:name="DT"/>
            <w:r>
              <w:rPr>
                <w:color w:val="auto"/>
              </w:rPr>
              <w:pict>
                <v:rect id="DT" o:spid="_x0000_s1026" o:spt="1" style="position:absolute;left:0pt;margin-left:372.8pt;margin-top:2.7pt;height:18pt;width:90pt;z-index:-251658240;mso-width-relative:page;mso-height-relative:page;" stroked="f" coordsize="21600,21600">
                  <v:path/>
                  <v:fill focussize="0,0"/>
                  <v:stroke on="f"/>
                  <v:imagedata o:title=""/>
                  <o:lock v:ext="edit"/>
                </v:rect>
              </w:pict>
            </w:r>
            <w:bookmarkEnd w:id="1"/>
          </w:p>
        </w:tc>
      </w:tr>
    </w:tbl>
    <w:p>
      <w:pPr>
        <w:pStyle w:val="12"/>
        <w:framePr w:w="9140" w:h="1242" w:hRule="exact" w:hSpace="284" w:wrap="around" w:vAnchor="page" w:hAnchor="page" w:x="1645" w:y="2910" w:anchorLock="1"/>
        <w:rPr>
          <w:color w:val="auto"/>
        </w:rPr>
      </w:pPr>
    </w:p>
    <w:p>
      <w:pPr>
        <w:pStyle w:val="12"/>
        <w:framePr w:w="9140" w:h="1242" w:hRule="exact" w:hSpace="284" w:wrap="around" w:vAnchor="page" w:hAnchor="page" w:x="1645" w:y="2910" w:anchorLock="1"/>
        <w:rPr>
          <w:color w:val="auto"/>
        </w:rPr>
      </w:pPr>
    </w:p>
    <w:p>
      <w:pPr>
        <w:pStyle w:val="21"/>
        <w:framePr w:w="9639" w:h="6917" w:hRule="exact" w:wrap="around" w:vAnchor="page" w:hAnchor="page" w:xAlign="center" w:y="6408" w:anchorLock="1"/>
        <w:rPr>
          <w:color w:val="auto"/>
        </w:rPr>
      </w:pPr>
      <w:r>
        <w:rPr>
          <w:rFonts w:hint="eastAsia"/>
          <w:color w:val="auto"/>
        </w:rPr>
        <w:t>广东省物流行业诚信服务要求与评估指标</w:t>
      </w:r>
    </w:p>
    <w:p>
      <w:pPr>
        <w:pStyle w:val="20"/>
        <w:framePr w:w="9639" w:h="6917" w:hRule="exact" w:wrap="around" w:vAnchor="page" w:hAnchor="page" w:xAlign="center" w:y="6408" w:anchorLock="1"/>
        <w:rPr>
          <w:color w:val="auto"/>
        </w:rPr>
      </w:pPr>
      <w:r>
        <w:rPr>
          <w:color w:val="auto"/>
        </w:rPr>
        <w:t>Requirements and evaluation indicator for trustworthiness of Guangdong logistics profession</w:t>
      </w:r>
    </w:p>
    <w:p>
      <w:pPr>
        <w:pStyle w:val="19"/>
        <w:framePr w:w="9639" w:h="6917" w:hRule="exact" w:wrap="around" w:vAnchor="page" w:hAnchor="page" w:xAlign="center" w:y="6408" w:anchorLock="1"/>
        <w:rPr>
          <w:color w:val="auto"/>
        </w:rPr>
      </w:pPr>
    </w:p>
    <w:tbl>
      <w:tblPr>
        <w:tblStyle w:val="9"/>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18"/>
              <w:framePr w:w="9639" w:h="6917" w:hRule="exact" w:wrap="around" w:vAnchor="page" w:hAnchor="page" w:xAlign="center" w:y="6408" w:anchorLock="1"/>
              <w:rPr>
                <w:color w:val="auto"/>
              </w:rPr>
            </w:pPr>
            <w:r>
              <w:rPr>
                <w:color w:val="auto"/>
              </w:rPr>
              <w:pict>
                <v:rect id="RQ" o:spid="_x0000_s1027" o:spt="1" style="position:absolute;left:0pt;margin-left:173.3pt;margin-top:45.15pt;height:20pt;width:150pt;z-index:-251657216;mso-width-relative:page;mso-height-relative:page;" stroked="f" coordsize="21600,21600">
                  <v:path/>
                  <v:fill focussize="0,0"/>
                  <v:stroke on="f"/>
                  <v:imagedata o:title=""/>
                  <o:lock v:ext="edit"/>
                  <w10:anchorlock/>
                </v:rect>
              </w:pict>
            </w:r>
            <w:r>
              <w:rPr>
                <w:color w:val="auto"/>
              </w:rPr>
              <w:pict>
                <v:rect id="LB" o:spid="_x0000_s1028" o:spt="1" style="position:absolute;left:0pt;margin-left:193.3pt;margin-top:20.15pt;height:24pt;width:100pt;z-index:-251658240;mso-width-relative:page;mso-height-relative:page;" stroked="f" coordsize="21600,21600">
                  <v:path/>
                  <v:fill focussize="0,0"/>
                  <v:stroke on="f"/>
                  <v:imagedata o:title=""/>
                  <o:lock v:ext="edit"/>
                </v:rect>
              </w:pict>
            </w:r>
            <w:r>
              <w:rPr>
                <w:rFonts w:hint="eastAsia"/>
                <w:color w:val="auto"/>
                <w:lang w:eastAsia="zh-CN"/>
              </w:rPr>
              <w:t>（</w:t>
            </w:r>
            <w:r>
              <w:rPr>
                <w:rFonts w:hint="eastAsia"/>
                <w:color w:val="auto"/>
              </w:rPr>
              <w:t>征求意见稿</w:t>
            </w:r>
            <w:r>
              <w:rPr>
                <w:rFonts w:hint="eastAsia"/>
                <w:color w:val="auto"/>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17"/>
              <w:framePr w:w="9639" w:h="6917" w:hRule="exact" w:wrap="around" w:vAnchor="page" w:hAnchor="page" w:xAlign="center" w:y="6408" w:anchorLock="1"/>
              <w:rPr>
                <w:color w:val="auto"/>
              </w:rPr>
            </w:pPr>
          </w:p>
        </w:tc>
      </w:tr>
    </w:tbl>
    <w:p>
      <w:pPr>
        <w:pStyle w:val="23"/>
        <w:framePr w:w="3997" w:h="471" w:hRule="exact" w:vSpace="181" w:wrap="around" w:vAnchor="page" w:hAnchor="page" w:x="1419" w:y="14097" w:anchorLock="1"/>
        <w:rPr>
          <w:color w:val="auto"/>
        </w:rPr>
      </w:pPr>
      <w:r>
        <w:rPr>
          <w:rFonts w:ascii="黑体"/>
          <w:color w:val="auto"/>
        </w:rPr>
        <w:t>2017</w:t>
      </w:r>
      <w:r>
        <w:rPr>
          <w:color w:val="auto"/>
        </w:rPr>
        <w:t xml:space="preserve"> </w:t>
      </w:r>
      <w:r>
        <w:rPr>
          <w:rFonts w:ascii="黑体"/>
          <w:color w:val="auto"/>
        </w:rPr>
        <w:t>-</w:t>
      </w:r>
      <w:r>
        <w:rPr>
          <w:color w:val="auto"/>
        </w:rPr>
        <w:t xml:space="preserve"> </w:t>
      </w:r>
      <w:r>
        <w:rPr>
          <w:rFonts w:hint="eastAsia" w:ascii="黑体"/>
          <w:color w:val="auto"/>
          <w:lang w:val="en-US" w:eastAsia="zh-CN"/>
        </w:rPr>
        <w:t>XX</w:t>
      </w:r>
      <w:r>
        <w:rPr>
          <w:rFonts w:ascii="黑体"/>
          <w:color w:val="auto"/>
        </w:rPr>
        <w:t>-</w:t>
      </w:r>
      <w:r>
        <w:rPr>
          <w:color w:val="auto"/>
        </w:rPr>
        <w:t xml:space="preserve"> </w:t>
      </w:r>
      <w:r>
        <w:rPr>
          <w:rFonts w:hint="eastAsia" w:ascii="黑体"/>
          <w:color w:val="auto"/>
          <w:lang w:val="en-US" w:eastAsia="zh-CN"/>
        </w:rPr>
        <w:t>XX</w:t>
      </w:r>
      <w:r>
        <w:rPr>
          <w:rFonts w:hint="eastAsia"/>
          <w:color w:val="auto"/>
        </w:rPr>
        <w:t>发布</w:t>
      </w:r>
      <w:r>
        <w:rPr>
          <w:color w:val="auto"/>
        </w:rPr>
        <w:pict>
          <v:line id="Line 5" o:spid="_x0000_s1029" o:spt="20" style="position:absolute;left:0pt;margin-left:-0.05pt;margin-top:728.5pt;height:0pt;width:481.9pt;mso-position-vertical-relative:page;z-index:251656192;mso-width-relative:page;mso-height-relative:page;" coordsize="21600,21600">
            <v:path arrowok="t"/>
            <v:fill focussize="0,0"/>
            <v:stroke/>
            <v:imagedata o:title=""/>
            <o:lock v:ext="edit"/>
            <w10:anchorlock/>
          </v:line>
        </w:pict>
      </w:r>
    </w:p>
    <w:p>
      <w:pPr>
        <w:pStyle w:val="26"/>
        <w:framePr w:w="3997" w:h="471" w:hRule="exact" w:vSpace="181" w:wrap="around" w:vAnchor="page" w:hAnchor="page" w:x="7089" w:y="14097" w:anchorLock="1"/>
        <w:rPr>
          <w:color w:val="auto"/>
        </w:rPr>
      </w:pPr>
      <w:r>
        <w:rPr>
          <w:rFonts w:ascii="黑体"/>
          <w:color w:val="auto"/>
        </w:rPr>
        <w:t>2017</w:t>
      </w:r>
      <w:r>
        <w:rPr>
          <w:color w:val="auto"/>
        </w:rPr>
        <w:t xml:space="preserve"> </w:t>
      </w:r>
      <w:r>
        <w:rPr>
          <w:rFonts w:ascii="黑体"/>
          <w:color w:val="auto"/>
        </w:rPr>
        <w:t>-</w:t>
      </w:r>
      <w:r>
        <w:rPr>
          <w:color w:val="auto"/>
        </w:rPr>
        <w:t xml:space="preserve"> </w:t>
      </w:r>
      <w:r>
        <w:rPr>
          <w:rFonts w:hint="eastAsia" w:ascii="黑体"/>
          <w:color w:val="auto"/>
          <w:lang w:val="en-US" w:eastAsia="zh-CN"/>
        </w:rPr>
        <w:t>XX</w:t>
      </w:r>
      <w:r>
        <w:rPr>
          <w:color w:val="auto"/>
        </w:rPr>
        <w:t xml:space="preserve"> </w:t>
      </w:r>
      <w:r>
        <w:rPr>
          <w:rFonts w:ascii="黑体"/>
          <w:color w:val="auto"/>
        </w:rPr>
        <w:t>-</w:t>
      </w:r>
      <w:r>
        <w:rPr>
          <w:color w:val="auto"/>
        </w:rPr>
        <w:t xml:space="preserve"> </w:t>
      </w:r>
      <w:r>
        <w:rPr>
          <w:rFonts w:hint="eastAsia" w:ascii="黑体"/>
          <w:color w:val="auto"/>
          <w:lang w:val="en-US" w:eastAsia="zh-CN"/>
        </w:rPr>
        <w:t>XX</w:t>
      </w:r>
      <w:r>
        <w:rPr>
          <w:rFonts w:hint="eastAsia"/>
          <w:color w:val="auto"/>
        </w:rPr>
        <w:t>实施</w:t>
      </w:r>
    </w:p>
    <w:p>
      <w:pPr>
        <w:pStyle w:val="28"/>
        <w:framePr w:w="7938" w:h="1134" w:hRule="exact" w:hSpace="125" w:vSpace="181" w:wrap="around" w:vAnchor="page" w:hAnchor="page" w:x="2150" w:y="14630" w:anchorLock="1"/>
        <w:rPr>
          <w:color w:val="auto"/>
        </w:rPr>
      </w:pPr>
      <w:r>
        <w:rPr>
          <w:rFonts w:hint="eastAsia"/>
          <w:color w:val="auto"/>
        </w:rPr>
        <w:t>广东省物流行业协会</w:t>
      </w:r>
      <w:r>
        <w:rPr>
          <w:color w:val="auto"/>
        </w:rPr>
        <w:t xml:space="preserve"> </w:t>
      </w:r>
      <w:r>
        <w:rPr>
          <w:rFonts w:hint="eastAsia"/>
          <w:color w:val="auto"/>
        </w:rPr>
        <w:t>发布</w:t>
      </w:r>
    </w:p>
    <w:p>
      <w:pPr>
        <w:pStyle w:val="11"/>
        <w:ind w:firstLine="31680"/>
        <w:rPr>
          <w:color w:val="auto"/>
        </w:rPr>
        <w:sectPr>
          <w:pgSz w:w="11906" w:h="16838"/>
          <w:pgMar w:top="623" w:right="1106" w:bottom="1091" w:left="1440" w:header="851" w:footer="992" w:gutter="0"/>
          <w:cols w:space="425" w:num="1"/>
          <w:docGrid w:type="lines" w:linePitch="312" w:charSpace="0"/>
        </w:sectPr>
      </w:pPr>
      <w:r>
        <w:rPr>
          <w:color w:val="auto"/>
        </w:rPr>
        <w:pict>
          <v:line id="Line 6" o:spid="_x0000_s1030" o:spt="20" style="position:absolute;left:0pt;margin-left:-0.05pt;margin-top:184.25pt;height:0pt;width:481.9pt;z-index:251657216;mso-width-relative:page;mso-height-relative:page;" coordsize="21600,21600">
            <v:path arrowok="t"/>
            <v:fill focussize="0,0"/>
            <v:stroke/>
            <v:imagedata o:title=""/>
            <o:lock v:ext="edit"/>
          </v:line>
        </w:pict>
      </w:r>
      <w:r>
        <w:rPr>
          <w:rFonts w:hint="eastAsia" w:eastAsia="宋体"/>
          <w:color w:val="auto"/>
          <w:lang w:val="en-US" w:eastAsia="zh-CN"/>
        </w:rPr>
        <w:t xml:space="preserve"> </w:t>
      </w:r>
    </w:p>
    <w:p>
      <w:pPr>
        <w:pStyle w:val="36"/>
      </w:pPr>
      <w:bookmarkStart w:id="2" w:name="_Toc385787075"/>
      <w:bookmarkStart w:id="3" w:name="_Toc385787765"/>
      <w:bookmarkStart w:id="4" w:name="_Toc385787455"/>
      <w:bookmarkStart w:id="5" w:name="_Toc385787751"/>
      <w:bookmarkStart w:id="6" w:name="_Toc385787434"/>
      <w:bookmarkStart w:id="7" w:name="_Toc385787410"/>
      <w:r>
        <w:rPr>
          <w:rFonts w:hint="eastAsia"/>
        </w:rPr>
        <w:t>目</w:t>
      </w:r>
      <w:bookmarkStart w:id="8" w:name="BKML"/>
      <w:r>
        <w:rPr>
          <w:rFonts w:ascii="Cambria Math" w:hAnsi="Cambria Math" w:cs="Cambria Math"/>
        </w:rPr>
        <w:t>  </w:t>
      </w:r>
      <w:r>
        <w:rPr>
          <w:rFonts w:hint="eastAsia"/>
        </w:rPr>
        <w:t>次</w:t>
      </w:r>
      <w:bookmarkEnd w:id="8"/>
      <w:bookmarkStart w:id="119" w:name="_GoBack"/>
      <w:bookmarkEnd w:id="119"/>
    </w:p>
    <w:p>
      <w:pPr>
        <w:pStyle w:val="6"/>
        <w:spacing w:beforeLines="0" w:after="78"/>
        <w:rPr>
          <w:rFonts w:ascii="Calibri" w:hAnsi="Calibri"/>
          <w:szCs w:val="22"/>
        </w:rPr>
      </w:pPr>
      <w:r>
        <w:fldChar w:fldCharType="begin" w:fldLock="1"/>
      </w:r>
      <w:r>
        <w:instrText xml:space="preserve"> TOC \h \z \t"</w:instrText>
      </w:r>
      <w:r>
        <w:rPr>
          <w:rFonts w:hint="eastAsia"/>
        </w:rPr>
        <w:instrText xml:space="preserve">前言、引言标题</w:instrText>
      </w:r>
      <w:r>
        <w:instrText xml:space="preserve">,1,</w:instrText>
      </w:r>
      <w:r>
        <w:rPr>
          <w:rFonts w:hint="eastAsia"/>
        </w:rPr>
        <w:instrText xml:space="preserve">参考文献、索引标题</w:instrText>
      </w:r>
      <w:r>
        <w:instrText xml:space="preserve">,1,</w:instrText>
      </w:r>
      <w:r>
        <w:rPr>
          <w:rFonts w:hint="eastAsia"/>
        </w:rPr>
        <w:instrText xml:space="preserve">章标题</w:instrText>
      </w:r>
      <w:r>
        <w:instrText xml:space="preserve">,1,</w:instrText>
      </w:r>
      <w:r>
        <w:rPr>
          <w:rFonts w:hint="eastAsia"/>
        </w:rPr>
        <w:instrText xml:space="preserve">参考文献</w:instrText>
      </w:r>
      <w:r>
        <w:instrText xml:space="preserve">,1,</w:instrText>
      </w:r>
      <w:r>
        <w:rPr>
          <w:rFonts w:hint="eastAsia"/>
        </w:rPr>
        <w:instrText xml:space="preserve">附录标识</w:instrText>
      </w:r>
      <w:r>
        <w:instrText xml:space="preserve">,1,</w:instrText>
      </w:r>
      <w:r>
        <w:rPr>
          <w:rFonts w:hint="eastAsia"/>
        </w:rPr>
        <w:instrText xml:space="preserve">一级条标题</w:instrText>
      </w:r>
      <w:r>
        <w:instrText xml:space="preserve">, 3" \* MERGEFORMAT </w:instrText>
      </w:r>
      <w:r>
        <w:fldChar w:fldCharType="separate"/>
      </w:r>
      <w:r>
        <w:fldChar w:fldCharType="begin"/>
      </w:r>
      <w:r>
        <w:instrText xml:space="preserve"> HYPERLINK \l "_Toc385788388" </w:instrText>
      </w:r>
      <w:r>
        <w:fldChar w:fldCharType="separate"/>
      </w:r>
      <w:r>
        <w:rPr>
          <w:rStyle w:val="8"/>
          <w:rFonts w:hint="eastAsia"/>
        </w:rPr>
        <w:t>前言</w:t>
      </w:r>
      <w:r>
        <w:tab/>
      </w:r>
      <w:r>
        <w:fldChar w:fldCharType="begin" w:fldLock="1"/>
      </w:r>
      <w:r>
        <w:instrText xml:space="preserve"> PAGEREF _Toc385788388 \h </w:instrText>
      </w:r>
      <w:r>
        <w:fldChar w:fldCharType="separate"/>
      </w:r>
      <w:r>
        <w:t>I</w:t>
      </w:r>
      <w:r>
        <w:fldChar w:fldCharType="end"/>
      </w:r>
      <w:r>
        <w:fldChar w:fldCharType="end"/>
      </w:r>
      <w:r>
        <w:fldChar w:fldCharType="begin" w:fldLock="1"/>
      </w:r>
      <w:r>
        <w:instrText xml:space="preserve"> PAGEREF _Toc385788388 \h </w:instrText>
      </w:r>
      <w:r>
        <w:fldChar w:fldCharType="separate"/>
      </w:r>
      <w:r>
        <w:t>I</w:t>
      </w:r>
      <w:r>
        <w:fldChar w:fldCharType="end"/>
      </w:r>
    </w:p>
    <w:p>
      <w:pPr>
        <w:pStyle w:val="6"/>
        <w:spacing w:beforeLines="0" w:after="78"/>
        <w:rPr>
          <w:rFonts w:ascii="Calibri" w:hAnsi="Calibri"/>
          <w:szCs w:val="22"/>
        </w:rPr>
      </w:pPr>
      <w:r>
        <w:fldChar w:fldCharType="begin"/>
      </w:r>
      <w:r>
        <w:instrText xml:space="preserve"> HYPERLINK \l "_Toc385788389" </w:instrText>
      </w:r>
      <w:r>
        <w:fldChar w:fldCharType="separate"/>
      </w:r>
      <w:r>
        <w:rPr>
          <w:rStyle w:val="8"/>
        </w:rPr>
        <w:t>1</w:t>
      </w:r>
      <w:r>
        <w:rPr>
          <w:rStyle w:val="8"/>
          <w:rFonts w:hint="eastAsia"/>
        </w:rPr>
        <w:t>　范围</w:t>
      </w:r>
      <w:r>
        <w:tab/>
      </w:r>
      <w:r>
        <w:fldChar w:fldCharType="begin" w:fldLock="1"/>
      </w:r>
      <w:r>
        <w:instrText xml:space="preserve"> PAGEREF _Toc385788389 \h </w:instrText>
      </w:r>
      <w:r>
        <w:fldChar w:fldCharType="separate"/>
      </w:r>
      <w:r>
        <w:t>1</w:t>
      </w:r>
      <w:r>
        <w:fldChar w:fldCharType="end"/>
      </w:r>
      <w:r>
        <w:fldChar w:fldCharType="end"/>
      </w:r>
    </w:p>
    <w:p>
      <w:pPr>
        <w:pStyle w:val="6"/>
        <w:spacing w:beforeLines="0" w:after="78"/>
        <w:rPr>
          <w:rFonts w:ascii="Calibri" w:hAnsi="Calibri"/>
          <w:szCs w:val="22"/>
        </w:rPr>
      </w:pPr>
      <w:r>
        <w:fldChar w:fldCharType="begin"/>
      </w:r>
      <w:r>
        <w:instrText xml:space="preserve"> HYPERLINK \l "_Toc385788390" </w:instrText>
      </w:r>
      <w:r>
        <w:fldChar w:fldCharType="separate"/>
      </w:r>
      <w:r>
        <w:rPr>
          <w:rStyle w:val="8"/>
        </w:rPr>
        <w:t>2</w:t>
      </w:r>
      <w:r>
        <w:rPr>
          <w:rStyle w:val="8"/>
          <w:rFonts w:hint="eastAsia"/>
        </w:rPr>
        <w:t>　规范性引用文件</w:t>
      </w:r>
      <w:r>
        <w:tab/>
      </w:r>
      <w:r>
        <w:fldChar w:fldCharType="begin" w:fldLock="1"/>
      </w:r>
      <w:r>
        <w:instrText xml:space="preserve"> PAGEREF _Toc385788390 \h </w:instrText>
      </w:r>
      <w:r>
        <w:fldChar w:fldCharType="separate"/>
      </w:r>
      <w:r>
        <w:t>1</w:t>
      </w:r>
      <w:r>
        <w:fldChar w:fldCharType="end"/>
      </w:r>
      <w:r>
        <w:fldChar w:fldCharType="end"/>
      </w:r>
    </w:p>
    <w:p>
      <w:pPr>
        <w:pStyle w:val="6"/>
        <w:spacing w:beforeLines="0" w:after="78"/>
        <w:rPr>
          <w:rFonts w:ascii="Calibri" w:hAnsi="Calibri"/>
          <w:szCs w:val="22"/>
        </w:rPr>
      </w:pPr>
      <w:r>
        <w:fldChar w:fldCharType="begin"/>
      </w:r>
      <w:r>
        <w:instrText xml:space="preserve"> HYPERLINK \l "_Toc385788391" </w:instrText>
      </w:r>
      <w:r>
        <w:fldChar w:fldCharType="separate"/>
      </w:r>
      <w:r>
        <w:rPr>
          <w:rStyle w:val="8"/>
        </w:rPr>
        <w:t>3</w:t>
      </w:r>
      <w:r>
        <w:rPr>
          <w:rStyle w:val="8"/>
          <w:rFonts w:hint="eastAsia"/>
        </w:rPr>
        <w:t>　术语和定义</w:t>
      </w:r>
      <w:r>
        <w:tab/>
      </w:r>
      <w:r>
        <w:fldChar w:fldCharType="begin" w:fldLock="1"/>
      </w:r>
      <w:r>
        <w:instrText xml:space="preserve"> PAGEREF _Toc385788391 \h </w:instrText>
      </w:r>
      <w:r>
        <w:fldChar w:fldCharType="separate"/>
      </w:r>
      <w:r>
        <w:t>1</w:t>
      </w:r>
      <w:r>
        <w:fldChar w:fldCharType="end"/>
      </w:r>
      <w:r>
        <w:fldChar w:fldCharType="end"/>
      </w:r>
    </w:p>
    <w:p>
      <w:pPr>
        <w:pStyle w:val="6"/>
        <w:spacing w:beforeLines="0" w:after="78"/>
      </w:pPr>
      <w:r>
        <w:fldChar w:fldCharType="begin"/>
      </w:r>
      <w:r>
        <w:instrText xml:space="preserve"> HYPERLINK \l "_Toc385788396" </w:instrText>
      </w:r>
      <w:r>
        <w:fldChar w:fldCharType="separate"/>
      </w:r>
      <w:r>
        <w:rPr>
          <w:rStyle w:val="8"/>
        </w:rPr>
        <w:t>4</w:t>
      </w:r>
      <w:r>
        <w:rPr>
          <w:rStyle w:val="8"/>
          <w:rFonts w:hint="eastAsia"/>
        </w:rPr>
        <w:t>　物流行业诚信服务基本要求</w:t>
      </w:r>
      <w:r>
        <w:tab/>
      </w:r>
      <w:r>
        <w:t>2</w:t>
      </w:r>
      <w:r>
        <w:fldChar w:fldCharType="end"/>
      </w:r>
    </w:p>
    <w:p>
      <w:pPr>
        <w:pStyle w:val="2"/>
        <w:ind w:firstLine="31680"/>
        <w:rPr>
          <w:rFonts w:ascii="Calibri" w:hAnsi="Calibri"/>
          <w:szCs w:val="22"/>
        </w:rPr>
      </w:pPr>
      <w:r>
        <w:fldChar w:fldCharType="begin"/>
      </w:r>
      <w:r>
        <w:instrText xml:space="preserve"> HYPERLINK \l "_Toc385788397" </w:instrText>
      </w:r>
      <w:r>
        <w:fldChar w:fldCharType="separate"/>
      </w:r>
      <w:r>
        <w:rPr>
          <w:rStyle w:val="8"/>
        </w:rPr>
        <w:t>4.1</w:t>
      </w:r>
      <w:r>
        <w:rPr>
          <w:rStyle w:val="8"/>
          <w:rFonts w:hint="eastAsia"/>
        </w:rPr>
        <w:t>　企业</w:t>
      </w:r>
      <w:r>
        <w:tab/>
      </w:r>
      <w:r>
        <w:t>2</w:t>
      </w:r>
      <w:r>
        <w:fldChar w:fldCharType="end"/>
      </w:r>
    </w:p>
    <w:p>
      <w:pPr>
        <w:pStyle w:val="2"/>
        <w:ind w:firstLine="31680"/>
      </w:pPr>
      <w:r>
        <w:fldChar w:fldCharType="begin"/>
      </w:r>
      <w:r>
        <w:instrText xml:space="preserve"> HYPERLINK \l "_Toc385788397" </w:instrText>
      </w:r>
      <w:r>
        <w:fldChar w:fldCharType="separate"/>
      </w:r>
      <w:r>
        <w:rPr>
          <w:rStyle w:val="8"/>
        </w:rPr>
        <w:t>4.2</w:t>
      </w:r>
      <w:r>
        <w:rPr>
          <w:rStyle w:val="8"/>
          <w:rFonts w:hint="eastAsia"/>
        </w:rPr>
        <w:t>　资产及设备设施</w:t>
      </w:r>
      <w:r>
        <w:tab/>
      </w:r>
      <w:r>
        <w:t>2</w:t>
      </w:r>
      <w:r>
        <w:fldChar w:fldCharType="end"/>
      </w:r>
    </w:p>
    <w:p>
      <w:pPr>
        <w:pStyle w:val="2"/>
        <w:ind w:firstLine="31680"/>
      </w:pPr>
      <w:r>
        <w:fldChar w:fldCharType="begin"/>
      </w:r>
      <w:r>
        <w:instrText xml:space="preserve"> HYPERLINK \l "_Toc385788398" </w:instrText>
      </w:r>
      <w:r>
        <w:fldChar w:fldCharType="separate"/>
      </w:r>
      <w:r>
        <w:rPr>
          <w:rStyle w:val="8"/>
        </w:rPr>
        <w:t>4.3</w:t>
      </w:r>
      <w:r>
        <w:rPr>
          <w:rStyle w:val="8"/>
          <w:rFonts w:hint="eastAsia"/>
        </w:rPr>
        <w:t>　</w:t>
      </w:r>
      <w:r>
        <w:rPr>
          <w:rStyle w:val="8"/>
          <w:rFonts w:hint="eastAsia"/>
        </w:rPr>
        <w:fldChar w:fldCharType="end"/>
      </w:r>
      <w:r>
        <w:rPr>
          <w:rFonts w:hint="eastAsia"/>
        </w:rPr>
        <w:t>信息技术</w:t>
      </w:r>
      <w:r>
        <w:tab/>
      </w:r>
      <w:r>
        <w:fldChar w:fldCharType="begin" w:fldLock="1"/>
      </w:r>
      <w:r>
        <w:instrText xml:space="preserve"> PAGEREF _Toc385788399 \h </w:instrText>
      </w:r>
      <w:r>
        <w:fldChar w:fldCharType="separate"/>
      </w:r>
      <w:r>
        <w:t>2</w:t>
      </w:r>
      <w:r>
        <w:fldChar w:fldCharType="end"/>
      </w:r>
    </w:p>
    <w:p>
      <w:pPr>
        <w:ind w:firstLine="210" w:firstLineChars="100"/>
        <w:rPr>
          <w:rFonts w:ascii="宋体"/>
          <w:szCs w:val="21"/>
        </w:rPr>
      </w:pPr>
      <w:r>
        <w:fldChar w:fldCharType="begin"/>
      </w:r>
      <w:r>
        <w:instrText xml:space="preserve"> HYPERLINK \l "_Toc385788399" </w:instrText>
      </w:r>
      <w:r>
        <w:fldChar w:fldCharType="separate"/>
      </w:r>
      <w:r>
        <w:rPr>
          <w:rStyle w:val="8"/>
          <w:rFonts w:ascii="宋体"/>
        </w:rPr>
        <w:t>4.4</w:t>
      </w:r>
      <w:r>
        <w:rPr>
          <w:rStyle w:val="8"/>
          <w:rFonts w:hint="eastAsia"/>
        </w:rPr>
        <w:t>　</w:t>
      </w:r>
      <w:r>
        <w:rPr>
          <w:rStyle w:val="8"/>
          <w:rFonts w:hint="eastAsia"/>
        </w:rPr>
        <w:fldChar w:fldCharType="end"/>
      </w:r>
      <w:r>
        <w:rPr>
          <w:rFonts w:hint="eastAsia"/>
        </w:rPr>
        <w:t>管理制度</w:t>
      </w:r>
      <w:r>
        <w:rPr>
          <w:rFonts w:ascii="宋体"/>
          <w:szCs w:val="21"/>
        </w:rPr>
        <w:t>.... ...................................................................2</w:t>
      </w:r>
    </w:p>
    <w:p>
      <w:pPr>
        <w:pStyle w:val="2"/>
        <w:ind w:firstLine="31680"/>
        <w:rPr>
          <w:rFonts w:ascii="Calibri" w:hAnsi="Calibri"/>
          <w:szCs w:val="22"/>
        </w:rPr>
      </w:pPr>
      <w:r>
        <w:fldChar w:fldCharType="begin"/>
      </w:r>
      <w:r>
        <w:instrText xml:space="preserve"> HYPERLINK \l "_Toc385788400" </w:instrText>
      </w:r>
      <w:r>
        <w:fldChar w:fldCharType="separate"/>
      </w:r>
      <w:r>
        <w:rPr>
          <w:rStyle w:val="8"/>
        </w:rPr>
        <w:t>4.5</w:t>
      </w:r>
      <w:r>
        <w:rPr>
          <w:rStyle w:val="8"/>
          <w:rFonts w:hint="eastAsia"/>
        </w:rPr>
        <w:t>　经营服务</w:t>
      </w:r>
      <w:r>
        <w:tab/>
      </w:r>
      <w:r>
        <w:t>2</w:t>
      </w:r>
      <w:r>
        <w:fldChar w:fldCharType="end"/>
      </w:r>
    </w:p>
    <w:p>
      <w:pPr>
        <w:pStyle w:val="2"/>
        <w:ind w:firstLine="31680"/>
        <w:rPr>
          <w:rFonts w:ascii="Calibri" w:hAnsi="Calibri"/>
          <w:szCs w:val="22"/>
        </w:rPr>
      </w:pPr>
      <w:r>
        <w:fldChar w:fldCharType="begin"/>
      </w:r>
      <w:r>
        <w:instrText xml:space="preserve"> HYPERLINK \l "_Toc385788401" </w:instrText>
      </w:r>
      <w:r>
        <w:fldChar w:fldCharType="separate"/>
      </w:r>
      <w:r>
        <w:rPr>
          <w:rStyle w:val="8"/>
        </w:rPr>
        <w:t>4.6</w:t>
      </w:r>
      <w:r>
        <w:rPr>
          <w:rStyle w:val="8"/>
          <w:rFonts w:hint="eastAsia"/>
        </w:rPr>
        <w:t>　诚信建设</w:t>
      </w:r>
      <w:r>
        <w:tab/>
      </w:r>
      <w:r>
        <w:t>3</w:t>
      </w:r>
      <w:r>
        <w:fldChar w:fldCharType="end"/>
      </w:r>
    </w:p>
    <w:p>
      <w:pPr>
        <w:pStyle w:val="2"/>
        <w:ind w:firstLine="31680"/>
        <w:rPr>
          <w:rFonts w:ascii="Calibri" w:hAnsi="Calibri"/>
          <w:szCs w:val="22"/>
        </w:rPr>
      </w:pPr>
      <w:r>
        <w:fldChar w:fldCharType="begin"/>
      </w:r>
      <w:r>
        <w:instrText xml:space="preserve"> HYPERLINK \l "_Toc385788402" </w:instrText>
      </w:r>
      <w:r>
        <w:fldChar w:fldCharType="separate"/>
      </w:r>
      <w:r>
        <w:rPr>
          <w:rStyle w:val="8"/>
        </w:rPr>
        <w:t>4.7</w:t>
      </w:r>
      <w:r>
        <w:rPr>
          <w:rStyle w:val="8"/>
          <w:rFonts w:hint="eastAsia"/>
        </w:rPr>
        <w:t>　社会责任</w:t>
      </w:r>
      <w:r>
        <w:tab/>
      </w:r>
      <w:r>
        <w:t>3</w:t>
      </w:r>
      <w:r>
        <w:fldChar w:fldCharType="end"/>
      </w:r>
    </w:p>
    <w:p>
      <w:pPr>
        <w:pStyle w:val="6"/>
        <w:spacing w:beforeLines="0" w:after="78"/>
        <w:rPr>
          <w:rFonts w:ascii="Calibri" w:hAnsi="Calibri"/>
          <w:szCs w:val="22"/>
        </w:rPr>
      </w:pPr>
      <w:r>
        <w:fldChar w:fldCharType="begin"/>
      </w:r>
      <w:r>
        <w:instrText xml:space="preserve"> HYPERLINK \l "_Toc385788404" </w:instrText>
      </w:r>
      <w:r>
        <w:fldChar w:fldCharType="separate"/>
      </w:r>
      <w:r>
        <w:rPr>
          <w:rStyle w:val="8"/>
        </w:rPr>
        <w:t>5</w:t>
      </w:r>
      <w:r>
        <w:rPr>
          <w:rStyle w:val="8"/>
          <w:rFonts w:hint="eastAsia"/>
        </w:rPr>
        <w:t>　物流行业诚信服务评估类型及评估指标</w:t>
      </w:r>
      <w:r>
        <w:tab/>
      </w:r>
      <w:r>
        <w:fldChar w:fldCharType="begin" w:fldLock="1"/>
      </w:r>
      <w:r>
        <w:instrText xml:space="preserve"> PAGEREF _Toc385788404 \h </w:instrText>
      </w:r>
      <w:r>
        <w:fldChar w:fldCharType="separate"/>
      </w:r>
      <w:r>
        <w:t>3</w:t>
      </w:r>
      <w:r>
        <w:fldChar w:fldCharType="end"/>
      </w:r>
      <w:r>
        <w:fldChar w:fldCharType="end"/>
      </w:r>
    </w:p>
    <w:p>
      <w:pPr>
        <w:pStyle w:val="2"/>
        <w:ind w:firstLine="31680"/>
        <w:rPr>
          <w:rFonts w:ascii="Calibri" w:hAnsi="Calibri"/>
          <w:szCs w:val="22"/>
        </w:rPr>
      </w:pPr>
      <w:r>
        <w:fldChar w:fldCharType="begin"/>
      </w:r>
      <w:r>
        <w:instrText xml:space="preserve"> HYPERLINK \l "_Toc385788405" </w:instrText>
      </w:r>
      <w:r>
        <w:fldChar w:fldCharType="separate"/>
      </w:r>
      <w:r>
        <w:rPr>
          <w:rStyle w:val="8"/>
        </w:rPr>
        <w:t>5.1</w:t>
      </w:r>
      <w:r>
        <w:rPr>
          <w:rStyle w:val="8"/>
          <w:rFonts w:hint="eastAsia"/>
        </w:rPr>
        <w:t>　评估类型划分</w:t>
      </w:r>
      <w:r>
        <w:tab/>
      </w:r>
      <w:r>
        <w:fldChar w:fldCharType="begin" w:fldLock="1"/>
      </w:r>
      <w:r>
        <w:instrText xml:space="preserve"> PAGEREF _Toc385788405 \h </w:instrText>
      </w:r>
      <w:r>
        <w:fldChar w:fldCharType="separate"/>
      </w:r>
      <w:r>
        <w:t>3</w:t>
      </w:r>
      <w:r>
        <w:fldChar w:fldCharType="end"/>
      </w:r>
      <w:r>
        <w:fldChar w:fldCharType="end"/>
      </w:r>
    </w:p>
    <w:p>
      <w:pPr>
        <w:pStyle w:val="2"/>
        <w:ind w:firstLine="31680"/>
        <w:rPr>
          <w:rFonts w:ascii="Calibri" w:hAnsi="Calibri"/>
          <w:szCs w:val="22"/>
        </w:rPr>
      </w:pPr>
      <w:r>
        <w:fldChar w:fldCharType="begin"/>
      </w:r>
      <w:r>
        <w:instrText xml:space="preserve"> HYPERLINK \l "_Toc385788406" </w:instrText>
      </w:r>
      <w:r>
        <w:fldChar w:fldCharType="separate"/>
      </w:r>
      <w:r>
        <w:rPr>
          <w:rStyle w:val="8"/>
        </w:rPr>
        <w:t>5.2</w:t>
      </w:r>
      <w:r>
        <w:rPr>
          <w:rStyle w:val="8"/>
          <w:rFonts w:hint="eastAsia"/>
        </w:rPr>
        <w:t>　</w:t>
      </w:r>
      <w:r>
        <w:rPr>
          <w:rFonts w:hint="eastAsia"/>
        </w:rPr>
        <w:t>基本条件</w:t>
      </w:r>
      <w:r>
        <w:tab/>
      </w:r>
      <w:r>
        <w:fldChar w:fldCharType="begin" w:fldLock="1"/>
      </w:r>
      <w:r>
        <w:instrText xml:space="preserve"> PAGEREF _Toc385788406 \h </w:instrText>
      </w:r>
      <w:r>
        <w:fldChar w:fldCharType="separate"/>
      </w:r>
      <w:r>
        <w:t>3</w:t>
      </w:r>
      <w:r>
        <w:fldChar w:fldCharType="end"/>
      </w:r>
      <w:r>
        <w:fldChar w:fldCharType="end"/>
      </w:r>
    </w:p>
    <w:p>
      <w:pPr>
        <w:pStyle w:val="2"/>
        <w:ind w:firstLine="31680"/>
      </w:pPr>
      <w:r>
        <w:fldChar w:fldCharType="begin"/>
      </w:r>
      <w:r>
        <w:instrText xml:space="preserve"> HYPERLINK \l "_Toc385788407" </w:instrText>
      </w:r>
      <w:r>
        <w:fldChar w:fldCharType="separate"/>
      </w:r>
      <w:r>
        <w:rPr>
          <w:rStyle w:val="8"/>
        </w:rPr>
        <w:t>5.3</w:t>
      </w:r>
      <w:r>
        <w:rPr>
          <w:rStyle w:val="8"/>
          <w:rFonts w:hint="eastAsia"/>
        </w:rPr>
        <w:t>　评估指标</w:t>
      </w:r>
      <w:r>
        <w:tab/>
      </w:r>
      <w:r>
        <w:t>4</w:t>
      </w:r>
      <w:r>
        <w:fldChar w:fldCharType="end"/>
      </w:r>
    </w:p>
    <w:p>
      <w:pPr>
        <w:pStyle w:val="2"/>
        <w:ind w:firstLine="31680"/>
        <w:rPr>
          <w:rStyle w:val="8"/>
        </w:rPr>
      </w:pPr>
      <w:r>
        <w:fldChar w:fldCharType="begin"/>
      </w:r>
      <w:r>
        <w:instrText xml:space="preserve"> HYPERLINK \l "_Toc385788407" </w:instrText>
      </w:r>
      <w:r>
        <w:fldChar w:fldCharType="separate"/>
      </w:r>
      <w:r>
        <w:rPr>
          <w:rStyle w:val="8"/>
        </w:rPr>
        <w:t>5.4</w:t>
      </w:r>
      <w:r>
        <w:rPr>
          <w:rStyle w:val="8"/>
          <w:rFonts w:hint="eastAsia"/>
        </w:rPr>
        <w:t>　后续管理</w:t>
      </w:r>
      <w:r>
        <w:rPr>
          <w:rStyle w:val="8"/>
        </w:rPr>
        <w:tab/>
      </w:r>
      <w:r>
        <w:rPr>
          <w:rStyle w:val="8"/>
        </w:rPr>
        <w:t>5</w:t>
      </w:r>
      <w:r>
        <w:rPr>
          <w:rStyle w:val="8"/>
        </w:rPr>
        <w:fldChar w:fldCharType="end"/>
      </w:r>
    </w:p>
    <w:p>
      <w:pPr>
        <w:pStyle w:val="6"/>
        <w:spacing w:beforeLines="0" w:after="78"/>
        <w:rPr>
          <w:rFonts w:ascii="Calibri" w:hAnsi="Calibri"/>
          <w:szCs w:val="22"/>
        </w:rPr>
      </w:pPr>
      <w:r>
        <w:fldChar w:fldCharType="begin"/>
      </w:r>
      <w:r>
        <w:instrText xml:space="preserve"> HYPERLINK \l "_Toc385788408" </w:instrText>
      </w:r>
      <w:r>
        <w:fldChar w:fldCharType="separate"/>
      </w:r>
      <w:r>
        <w:rPr>
          <w:rStyle w:val="8"/>
          <w:rFonts w:hint="eastAsia"/>
        </w:rPr>
        <w:t>参考文献</w:t>
      </w:r>
      <w:r>
        <w:tab/>
      </w:r>
      <w:r>
        <w:t>6</w:t>
      </w:r>
      <w:r>
        <w:fldChar w:fldCharType="end"/>
      </w:r>
    </w:p>
    <w:p>
      <w:pPr>
        <w:pStyle w:val="11"/>
        <w:ind w:firstLine="31680"/>
        <w:rPr>
          <w:rFonts w:eastAsia="宋体"/>
        </w:rPr>
      </w:pPr>
      <w:r>
        <w:fldChar w:fldCharType="end"/>
      </w:r>
      <w:r>
        <w:rPr>
          <w:rFonts w:eastAsia="宋体"/>
        </w:rPr>
        <w:t xml:space="preserve"> </w:t>
      </w:r>
      <w:r>
        <w:rPr>
          <w:rFonts w:eastAsia="宋体"/>
        </w:rPr>
        <w:tab/>
      </w:r>
    </w:p>
    <w:p>
      <w:pPr>
        <w:pStyle w:val="35"/>
      </w:pPr>
      <w:bookmarkStart w:id="9" w:name="_Toc385788388"/>
      <w:r>
        <w:rPr>
          <w:rFonts w:hint="eastAsia"/>
        </w:rPr>
        <w:t>前</w:t>
      </w:r>
      <w:bookmarkStart w:id="10" w:name="BKQY"/>
      <w:r>
        <w:rPr>
          <w:rFonts w:ascii="Cambria Math" w:hAnsi="Cambria Math" w:cs="Cambria Math"/>
        </w:rPr>
        <w:t>  </w:t>
      </w:r>
      <w:r>
        <w:rPr>
          <w:rFonts w:hint="eastAsia"/>
        </w:rPr>
        <w:t>言</w:t>
      </w:r>
      <w:bookmarkEnd w:id="2"/>
      <w:bookmarkEnd w:id="3"/>
      <w:bookmarkEnd w:id="4"/>
      <w:bookmarkEnd w:id="5"/>
      <w:bookmarkEnd w:id="6"/>
      <w:bookmarkEnd w:id="7"/>
      <w:bookmarkEnd w:id="9"/>
      <w:bookmarkEnd w:id="10"/>
    </w:p>
    <w:p>
      <w:pPr>
        <w:pStyle w:val="11"/>
        <w:ind w:firstLine="31680"/>
        <w:rPr>
          <w:rFonts w:hAnsi="宋体"/>
          <w:color w:val="FF0000"/>
        </w:rPr>
      </w:pPr>
      <w:r>
        <w:rPr>
          <w:rFonts w:hAnsi="宋体"/>
          <w:color w:val="000000"/>
        </w:rPr>
        <w:t>本标准依据GB/T 1.1-2009给出的规则起草。</w:t>
      </w:r>
    </w:p>
    <w:p>
      <w:pPr>
        <w:pStyle w:val="11"/>
        <w:ind w:firstLine="31680"/>
        <w:rPr>
          <w:rFonts w:hAnsi="宋体"/>
        </w:rPr>
      </w:pPr>
      <w:r>
        <w:rPr>
          <w:rFonts w:hAnsi="宋体"/>
        </w:rPr>
        <w:t>本标准由广东省物流行业协会提出。</w:t>
      </w:r>
    </w:p>
    <w:p>
      <w:pPr>
        <w:pStyle w:val="11"/>
        <w:ind w:firstLine="31680"/>
        <w:rPr>
          <w:rFonts w:hAnsi="宋体"/>
          <w:kern w:val="2"/>
        </w:rPr>
      </w:pPr>
      <w:r>
        <w:rPr>
          <w:rFonts w:hAnsi="宋体"/>
        </w:rPr>
        <w:t>本标准由</w:t>
      </w:r>
      <w:r>
        <w:rPr>
          <w:rFonts w:hint="eastAsia" w:hAnsi="宋体" w:eastAsia="宋体"/>
          <w:lang w:eastAsia="zh-CN"/>
        </w:rPr>
        <w:t>广东省物流行业协会、广东省物流标准化技术委员会（</w:t>
      </w:r>
      <w:r>
        <w:rPr>
          <w:rFonts w:hint="eastAsia" w:hAnsi="宋体" w:eastAsia="宋体"/>
          <w:lang w:val="en-US" w:eastAsia="zh-CN"/>
        </w:rPr>
        <w:t>GD/TC4</w:t>
      </w:r>
      <w:r>
        <w:rPr>
          <w:rFonts w:hint="eastAsia" w:hAnsi="宋体" w:eastAsia="宋体"/>
          <w:lang w:eastAsia="zh-CN"/>
        </w:rPr>
        <w:t>）归口</w:t>
      </w:r>
      <w:r>
        <w:rPr>
          <w:rFonts w:hint="eastAsia" w:hAnsi="宋体" w:eastAsia="宋体"/>
          <w:color w:val="auto"/>
          <w:lang w:val="en-US" w:eastAsia="zh-CN"/>
        </w:rPr>
        <w:t>。</w:t>
      </w:r>
    </w:p>
    <w:p>
      <w:pPr>
        <w:pStyle w:val="11"/>
        <w:ind w:firstLine="31680"/>
        <w:rPr>
          <w:rFonts w:hAnsi="宋体"/>
          <w:kern w:val="2"/>
        </w:rPr>
      </w:pPr>
      <w:r>
        <w:rPr>
          <w:rFonts w:hAnsi="宋体"/>
        </w:rPr>
        <w:t>本标准起草单位：</w:t>
      </w:r>
    </w:p>
    <w:p>
      <w:pPr>
        <w:pStyle w:val="11"/>
        <w:ind w:firstLine="31680"/>
        <w:rPr>
          <w:rFonts w:hAnsi="宋体"/>
        </w:rPr>
      </w:pPr>
      <w:r>
        <w:rPr>
          <w:rFonts w:hAnsi="宋体"/>
        </w:rPr>
        <w:t>本标准主要起草人：</w:t>
      </w:r>
    </w:p>
    <w:p>
      <w:pPr>
        <w:pStyle w:val="11"/>
        <w:ind w:firstLine="31680"/>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r>
        <w:t>声明：本标准的知识产权归属于</w:t>
      </w:r>
      <w:r>
        <w:rPr>
          <w:rFonts w:hAnsi="宋体"/>
        </w:rPr>
        <w:t>广东省物流行业协会</w:t>
      </w:r>
      <w:r>
        <w:t>，未经</w:t>
      </w:r>
      <w:r>
        <w:rPr>
          <w:rFonts w:hAnsi="宋体"/>
        </w:rPr>
        <w:t>广东省物流行业协会</w:t>
      </w:r>
      <w:r>
        <w:t>同意，不得印刷、销售。任何组织、个人使用本标准开展</w:t>
      </w:r>
      <w:r>
        <w:rPr>
          <w:rFonts w:hint="eastAsia" w:eastAsia="宋体"/>
        </w:rPr>
        <w:t>评估、</w:t>
      </w:r>
      <w:r>
        <w:t>认证、检测等活动应经</w:t>
      </w:r>
      <w:r>
        <w:rPr>
          <w:rFonts w:hAnsi="宋体"/>
        </w:rPr>
        <w:t>广东省物流行业协会</w:t>
      </w:r>
      <w:r>
        <w:t>批准授权。</w:t>
      </w:r>
    </w:p>
    <w:p>
      <w:pPr>
        <w:pStyle w:val="36"/>
      </w:pPr>
      <w:r>
        <w:rPr>
          <w:rFonts w:hint="eastAsia"/>
        </w:rPr>
        <w:t>广东省物</w:t>
      </w:r>
      <w:bookmarkStart w:id="11" w:name="StandardName"/>
      <w:r>
        <w:rPr>
          <w:rFonts w:hint="eastAsia"/>
        </w:rPr>
        <w:t>流行业诚信服务要求与评估指标</w:t>
      </w:r>
      <w:bookmarkEnd w:id="11"/>
    </w:p>
    <w:p>
      <w:pPr>
        <w:pStyle w:val="32"/>
        <w:numPr>
          <w:ilvl w:val="0"/>
          <w:numId w:val="5"/>
        </w:numPr>
        <w:spacing w:before="312" w:after="312"/>
      </w:pPr>
      <w:bookmarkStart w:id="12" w:name="_Toc385788389"/>
      <w:bookmarkStart w:id="13" w:name="_Toc385787076"/>
      <w:bookmarkStart w:id="14" w:name="_Toc385787435"/>
      <w:bookmarkStart w:id="15" w:name="_Toc385786964"/>
      <w:bookmarkStart w:id="16" w:name="_Toc385787411"/>
      <w:bookmarkStart w:id="17" w:name="_Toc385787752"/>
      <w:bookmarkStart w:id="18" w:name="_Toc385787766"/>
      <w:bookmarkStart w:id="19" w:name="_Toc385787456"/>
      <w:r>
        <w:rPr>
          <w:rFonts w:hint="eastAsia"/>
        </w:rPr>
        <w:t>范围</w:t>
      </w:r>
      <w:bookmarkEnd w:id="12"/>
      <w:bookmarkEnd w:id="13"/>
      <w:bookmarkEnd w:id="14"/>
      <w:bookmarkEnd w:id="15"/>
      <w:bookmarkEnd w:id="16"/>
      <w:bookmarkEnd w:id="17"/>
      <w:bookmarkEnd w:id="18"/>
      <w:bookmarkEnd w:id="19"/>
    </w:p>
    <w:p>
      <w:pPr>
        <w:pStyle w:val="11"/>
        <w:ind w:firstLine="31680"/>
        <w:rPr>
          <w:rFonts w:hAnsi="宋体"/>
          <w:szCs w:val="21"/>
        </w:rPr>
      </w:pPr>
      <w:r>
        <w:rPr>
          <w:rFonts w:hAnsi="宋体"/>
          <w:szCs w:val="21"/>
        </w:rPr>
        <w:t>本标准规定了广东省物流</w:t>
      </w:r>
      <w:r>
        <w:rPr>
          <w:rFonts w:hint="eastAsia" w:hAnsi="宋体" w:eastAsia="宋体"/>
          <w:szCs w:val="21"/>
        </w:rPr>
        <w:t>行业提供服务应</w:t>
      </w:r>
      <w:r>
        <w:rPr>
          <w:rFonts w:hAnsi="宋体"/>
          <w:szCs w:val="21"/>
        </w:rPr>
        <w:t>满足的</w:t>
      </w:r>
      <w:r>
        <w:rPr>
          <w:rFonts w:hint="eastAsia" w:hAnsi="宋体" w:eastAsia="宋体"/>
          <w:szCs w:val="21"/>
        </w:rPr>
        <w:t>诚信</w:t>
      </w:r>
      <w:r>
        <w:rPr>
          <w:rFonts w:hAnsi="宋体"/>
          <w:szCs w:val="21"/>
        </w:rPr>
        <w:t>基本要求，以及</w:t>
      </w:r>
      <w:r>
        <w:rPr>
          <w:rFonts w:hint="eastAsia" w:hAnsi="宋体" w:eastAsia="宋体"/>
          <w:szCs w:val="21"/>
        </w:rPr>
        <w:t>广东省诚信</w:t>
      </w:r>
      <w:r>
        <w:rPr>
          <w:rFonts w:hAnsi="宋体"/>
          <w:szCs w:val="21"/>
        </w:rPr>
        <w:t>物流企业</w:t>
      </w:r>
      <w:r>
        <w:rPr>
          <w:rFonts w:hint="eastAsia" w:hAnsi="宋体" w:eastAsia="宋体"/>
          <w:szCs w:val="21"/>
        </w:rPr>
        <w:t>、广东省诚信物流园区</w:t>
      </w:r>
      <w:r>
        <w:rPr>
          <w:rFonts w:hAnsi="宋体"/>
          <w:szCs w:val="21"/>
        </w:rPr>
        <w:t>评估指标。</w:t>
      </w:r>
    </w:p>
    <w:p>
      <w:pPr>
        <w:pStyle w:val="32"/>
        <w:numPr>
          <w:ilvl w:val="0"/>
          <w:numId w:val="5"/>
        </w:numPr>
        <w:spacing w:before="312" w:after="312"/>
      </w:pPr>
      <w:bookmarkStart w:id="20" w:name="_Toc385786965"/>
      <w:bookmarkStart w:id="21" w:name="_Toc385787436"/>
      <w:bookmarkStart w:id="22" w:name="_Toc385787412"/>
      <w:bookmarkStart w:id="23" w:name="_Toc385787767"/>
      <w:bookmarkStart w:id="24" w:name="_Toc385788390"/>
      <w:bookmarkStart w:id="25" w:name="_Toc385787077"/>
      <w:bookmarkStart w:id="26" w:name="_Toc385787457"/>
      <w:bookmarkStart w:id="27" w:name="_Toc385787753"/>
      <w:r>
        <w:rPr>
          <w:rFonts w:hint="eastAsia"/>
        </w:rPr>
        <w:t>规范性引用文件</w:t>
      </w:r>
      <w:bookmarkEnd w:id="20"/>
      <w:bookmarkEnd w:id="21"/>
      <w:bookmarkEnd w:id="22"/>
      <w:bookmarkEnd w:id="23"/>
      <w:bookmarkEnd w:id="24"/>
      <w:bookmarkEnd w:id="25"/>
      <w:bookmarkEnd w:id="26"/>
      <w:bookmarkEnd w:id="27"/>
    </w:p>
    <w:p>
      <w:pPr>
        <w:pStyle w:val="11"/>
        <w:ind w:firstLine="31680"/>
        <w:rPr>
          <w:rFonts w:hAnsi="宋体"/>
        </w:rPr>
      </w:pPr>
      <w:r>
        <w:rPr>
          <w:rFonts w:hAnsi="宋体"/>
        </w:rPr>
        <w:t>下列文件对于本文件的应用是必不可少的。凡是注日期的引用文件，仅所注日期的版本适用于本文件。凡是不注日期的引用文件，其最新版本（包括所有的修改单）适用于本文件。</w:t>
      </w:r>
    </w:p>
    <w:p>
      <w:pPr>
        <w:pStyle w:val="11"/>
        <w:ind w:firstLine="31680"/>
        <w:rPr>
          <w:rFonts w:hAnsi="宋体"/>
        </w:rPr>
      </w:pPr>
      <w:r>
        <w:rPr>
          <w:rFonts w:hAnsi="宋体"/>
        </w:rPr>
        <w:t>GB/T 18354     物流术语</w:t>
      </w:r>
    </w:p>
    <w:p>
      <w:pPr>
        <w:pStyle w:val="11"/>
        <w:ind w:firstLine="31680"/>
        <w:rPr>
          <w:rFonts w:hAnsi="宋体" w:eastAsia="宋体"/>
        </w:rPr>
      </w:pPr>
      <w:r>
        <w:rPr>
          <w:rFonts w:hAnsi="宋体"/>
        </w:rPr>
        <w:t>GB/T 19680     物流企业分类与评估指标</w:t>
      </w:r>
    </w:p>
    <w:p>
      <w:pPr>
        <w:pStyle w:val="11"/>
        <w:ind w:firstLine="31680"/>
        <w:rPr>
          <w:rFonts w:eastAsia="宋体"/>
        </w:rPr>
      </w:pPr>
      <w:r>
        <w:rPr>
          <w:rFonts w:eastAsia="宋体"/>
        </w:rPr>
        <w:t xml:space="preserve">GB/T 31950     </w:t>
      </w:r>
      <w:r>
        <w:rPr>
          <w:rFonts w:hint="eastAsia" w:eastAsia="宋体"/>
        </w:rPr>
        <w:t>企业诚信管理体系</w:t>
      </w:r>
    </w:p>
    <w:p>
      <w:pPr>
        <w:pStyle w:val="32"/>
        <w:numPr>
          <w:ilvl w:val="0"/>
          <w:numId w:val="5"/>
        </w:numPr>
        <w:spacing w:before="312" w:after="312"/>
      </w:pPr>
      <w:bookmarkStart w:id="28" w:name="_Toc385786966"/>
      <w:bookmarkEnd w:id="28"/>
      <w:bookmarkStart w:id="29" w:name="_Toc385788391"/>
      <w:bookmarkStart w:id="30" w:name="_Toc374951649"/>
      <w:bookmarkStart w:id="31" w:name="_Toc385078480"/>
      <w:bookmarkStart w:id="32" w:name="_Toc385078421"/>
      <w:bookmarkStart w:id="33" w:name="_Toc374958154"/>
      <w:bookmarkStart w:id="34" w:name="_Toc385787413"/>
      <w:bookmarkStart w:id="35" w:name="_Toc374955649"/>
      <w:bookmarkStart w:id="36" w:name="_Toc385787078"/>
      <w:bookmarkStart w:id="37" w:name="_Toc385787458"/>
      <w:bookmarkStart w:id="38" w:name="_Toc385787437"/>
      <w:bookmarkStart w:id="39" w:name="_Toc385787768"/>
      <w:bookmarkStart w:id="40" w:name="_Toc385787754"/>
      <w:r>
        <w:rPr>
          <w:rFonts w:hint="eastAsia"/>
        </w:rPr>
        <w:t>术语和定义</w:t>
      </w:r>
      <w:bookmarkEnd w:id="29"/>
      <w:bookmarkEnd w:id="30"/>
      <w:bookmarkEnd w:id="31"/>
      <w:bookmarkEnd w:id="32"/>
      <w:bookmarkEnd w:id="33"/>
      <w:bookmarkEnd w:id="34"/>
      <w:bookmarkEnd w:id="35"/>
      <w:bookmarkEnd w:id="36"/>
      <w:bookmarkEnd w:id="37"/>
      <w:bookmarkEnd w:id="38"/>
      <w:bookmarkEnd w:id="39"/>
      <w:bookmarkEnd w:id="40"/>
    </w:p>
    <w:p>
      <w:pPr>
        <w:pStyle w:val="11"/>
        <w:ind w:firstLine="31680"/>
        <w:rPr>
          <w:rFonts w:hAnsi="宋体"/>
        </w:rPr>
      </w:pPr>
      <w:r>
        <w:rPr>
          <w:rFonts w:hAnsi="宋体"/>
        </w:rPr>
        <w:t>GB/T 18354</w:t>
      </w:r>
      <w:r>
        <w:rPr>
          <w:rFonts w:hint="eastAsia" w:hAnsi="宋体" w:eastAsia="宋体"/>
        </w:rPr>
        <w:t>、</w:t>
      </w:r>
      <w:r>
        <w:rPr>
          <w:rFonts w:hAnsi="宋体"/>
        </w:rPr>
        <w:t>GB/T 19680</w:t>
      </w:r>
      <w:r>
        <w:rPr>
          <w:rFonts w:hint="eastAsia" w:hAnsi="宋体" w:eastAsia="宋体"/>
        </w:rPr>
        <w:t>、</w:t>
      </w:r>
      <w:r>
        <w:rPr>
          <w:rFonts w:eastAsia="宋体"/>
        </w:rPr>
        <w:t>GB/T 31950</w:t>
      </w:r>
      <w:r>
        <w:rPr>
          <w:rFonts w:hint="eastAsia" w:hAnsi="宋体" w:eastAsia="宋体"/>
        </w:rPr>
        <w:t>界定</w:t>
      </w:r>
      <w:r>
        <w:rPr>
          <w:rFonts w:hAnsi="宋体"/>
        </w:rPr>
        <w:t>的以及下列术语和定义适用于本文件。</w:t>
      </w:r>
    </w:p>
    <w:p>
      <w:pPr>
        <w:pStyle w:val="13"/>
        <w:numPr>
          <w:ilvl w:val="1"/>
          <w:numId w:val="0"/>
        </w:numPr>
        <w:spacing w:before="156" w:after="156"/>
      </w:pPr>
      <w:bookmarkStart w:id="41" w:name="_Toc374951650"/>
      <w:bookmarkStart w:id="42" w:name="_Toc374955650"/>
      <w:bookmarkStart w:id="43" w:name="_Toc374958155"/>
      <w:bookmarkStart w:id="44" w:name="_Toc385078422"/>
      <w:bookmarkStart w:id="45" w:name="_Toc385078481"/>
      <w:bookmarkStart w:id="46" w:name="_Toc385787079"/>
      <w:bookmarkStart w:id="47" w:name="_Toc385787414"/>
      <w:bookmarkStart w:id="48" w:name="_Toc385787438"/>
      <w:bookmarkStart w:id="49" w:name="_Toc385787769"/>
      <w:bookmarkStart w:id="50" w:name="_Toc385788392"/>
      <w:r>
        <w:t>3.1</w:t>
      </w:r>
      <w:bookmarkEnd w:id="41"/>
      <w:bookmarkEnd w:id="42"/>
      <w:bookmarkEnd w:id="43"/>
      <w:bookmarkEnd w:id="44"/>
      <w:bookmarkEnd w:id="45"/>
      <w:bookmarkEnd w:id="46"/>
      <w:bookmarkEnd w:id="47"/>
      <w:bookmarkEnd w:id="48"/>
      <w:bookmarkEnd w:id="49"/>
      <w:bookmarkEnd w:id="50"/>
      <w:r>
        <w:t xml:space="preserve"> </w:t>
      </w:r>
    </w:p>
    <w:p>
      <w:pPr>
        <w:pStyle w:val="13"/>
        <w:numPr>
          <w:ilvl w:val="1"/>
          <w:numId w:val="0"/>
        </w:numPr>
        <w:spacing w:before="156" w:after="156"/>
        <w:ind w:firstLine="420" w:firstLineChars="200"/>
      </w:pPr>
      <w:r>
        <w:rPr>
          <w:rFonts w:hint="eastAsia"/>
        </w:rPr>
        <w:t>物流企业</w:t>
      </w:r>
      <w:r>
        <w:t xml:space="preserve">  logistics enterprise</w:t>
      </w:r>
    </w:p>
    <w:p>
      <w:pPr>
        <w:pStyle w:val="11"/>
        <w:ind w:firstLine="31680"/>
        <w:rPr>
          <w:rFonts w:hAnsi="宋体"/>
        </w:rPr>
      </w:pPr>
      <w:r>
        <w:rPr>
          <w:rFonts w:hAnsi="宋体"/>
        </w:rPr>
        <w:t>从事物流基本功能范围内的物流业务设计及系统运作，具有与自身业务相适应的信息管理系统，实行独立核算、独立承担民事责任的经济组织。</w:t>
      </w:r>
    </w:p>
    <w:p>
      <w:pPr>
        <w:pStyle w:val="11"/>
        <w:ind w:firstLine="31680"/>
        <w:rPr>
          <w:rFonts w:hAnsi="宋体" w:eastAsia="宋体"/>
        </w:rPr>
      </w:pPr>
      <w:r>
        <w:rPr>
          <w:rFonts w:hAnsi="宋体"/>
        </w:rPr>
        <w:t>【GB/T 18354</w:t>
      </w:r>
      <w:r>
        <w:rPr>
          <w:rFonts w:hAnsi="宋体" w:eastAsia="宋体"/>
        </w:rPr>
        <w:t>-2006</w:t>
      </w:r>
      <w:r>
        <w:rPr>
          <w:rFonts w:hAnsi="宋体"/>
        </w:rPr>
        <w:t>，定义</w:t>
      </w:r>
      <w:r>
        <w:rPr>
          <w:rFonts w:hAnsi="宋体" w:eastAsia="宋体"/>
        </w:rPr>
        <w:t>2.16</w:t>
      </w:r>
      <w:r>
        <w:rPr>
          <w:rFonts w:hAnsi="宋体"/>
        </w:rPr>
        <w:t>】</w:t>
      </w:r>
    </w:p>
    <w:p>
      <w:pPr>
        <w:pStyle w:val="13"/>
        <w:numPr>
          <w:ilvl w:val="1"/>
          <w:numId w:val="0"/>
        </w:numPr>
        <w:spacing w:before="156" w:after="156"/>
      </w:pPr>
      <w:r>
        <w:t xml:space="preserve">3.2 </w:t>
      </w:r>
    </w:p>
    <w:p>
      <w:pPr>
        <w:pStyle w:val="13"/>
        <w:numPr>
          <w:ilvl w:val="1"/>
          <w:numId w:val="0"/>
        </w:numPr>
        <w:spacing w:before="156" w:after="156"/>
        <w:ind w:firstLine="420" w:firstLineChars="200"/>
      </w:pPr>
      <w:r>
        <w:rPr>
          <w:rFonts w:hint="eastAsia"/>
        </w:rPr>
        <w:t>物流园区</w:t>
      </w:r>
      <w:r>
        <w:t xml:space="preserve">  logistics park</w:t>
      </w:r>
    </w:p>
    <w:p>
      <w:pPr>
        <w:pStyle w:val="11"/>
        <w:ind w:firstLine="31680"/>
        <w:rPr>
          <w:rFonts w:hAnsi="宋体" w:eastAsia="宋体"/>
        </w:rPr>
      </w:pPr>
      <w:r>
        <w:rPr>
          <w:rFonts w:hAnsi="宋体"/>
        </w:rPr>
        <w:t>为了实现物流设施集约化和物流运作共同化，或者出于城市物流设施空间布局合理化的目的而在城市周边等各区域，集中建设的物流设施群与众多物流业者在地域上的物理集结地。</w:t>
      </w:r>
    </w:p>
    <w:p>
      <w:pPr>
        <w:pStyle w:val="11"/>
        <w:ind w:firstLine="31680"/>
        <w:rPr>
          <w:rFonts w:hAnsi="宋体" w:eastAsia="宋体"/>
        </w:rPr>
      </w:pPr>
      <w:r>
        <w:rPr>
          <w:rFonts w:hAnsi="宋体"/>
        </w:rPr>
        <w:t>【</w:t>
      </w:r>
      <w:r>
        <w:t xml:space="preserve">GB/T </w:t>
      </w:r>
      <w:r>
        <w:rPr>
          <w:rFonts w:hAnsi="宋体"/>
        </w:rPr>
        <w:t>18354</w:t>
      </w:r>
      <w:r>
        <w:rPr>
          <w:rFonts w:hAnsi="宋体" w:eastAsia="宋体"/>
        </w:rPr>
        <w:t>-2006</w:t>
      </w:r>
      <w:r>
        <w:rPr>
          <w:rFonts w:hAnsi="宋体"/>
        </w:rPr>
        <w:t>，定义</w:t>
      </w:r>
      <w:r>
        <w:rPr>
          <w:rFonts w:hAnsi="宋体" w:eastAsia="宋体"/>
        </w:rPr>
        <w:t>2</w:t>
      </w:r>
      <w:r>
        <w:rPr>
          <w:rFonts w:hAnsi="宋体"/>
        </w:rPr>
        <w:t>.</w:t>
      </w:r>
      <w:r>
        <w:rPr>
          <w:rFonts w:hAnsi="宋体" w:eastAsia="宋体"/>
        </w:rPr>
        <w:t>15</w:t>
      </w:r>
      <w:r>
        <w:rPr>
          <w:rFonts w:hAnsi="宋体"/>
        </w:rPr>
        <w:t>】</w:t>
      </w:r>
    </w:p>
    <w:p>
      <w:pPr>
        <w:pStyle w:val="13"/>
        <w:numPr>
          <w:ilvl w:val="1"/>
          <w:numId w:val="0"/>
        </w:numPr>
        <w:spacing w:before="156" w:after="156"/>
      </w:pPr>
      <w:bookmarkStart w:id="51" w:name="_Toc385078424"/>
      <w:bookmarkStart w:id="52" w:name="_Toc385078483"/>
      <w:bookmarkStart w:id="53" w:name="_Toc385787081"/>
      <w:bookmarkStart w:id="54" w:name="_Toc385787416"/>
      <w:bookmarkStart w:id="55" w:name="_Toc385787440"/>
      <w:bookmarkStart w:id="56" w:name="_Toc385788394"/>
      <w:bookmarkStart w:id="57" w:name="_Toc385787771"/>
      <w:r>
        <w:t>3.</w:t>
      </w:r>
      <w:bookmarkEnd w:id="51"/>
      <w:bookmarkEnd w:id="52"/>
      <w:bookmarkEnd w:id="53"/>
      <w:bookmarkEnd w:id="54"/>
      <w:bookmarkEnd w:id="55"/>
      <w:bookmarkEnd w:id="56"/>
      <w:bookmarkEnd w:id="57"/>
      <w:r>
        <w:t xml:space="preserve">3 </w:t>
      </w:r>
    </w:p>
    <w:p>
      <w:pPr>
        <w:pStyle w:val="13"/>
        <w:numPr>
          <w:ilvl w:val="1"/>
          <w:numId w:val="0"/>
        </w:numPr>
        <w:spacing w:before="156" w:after="156"/>
        <w:ind w:firstLine="420" w:firstLineChars="200"/>
      </w:pPr>
      <w:r>
        <w:rPr>
          <w:rFonts w:hint="eastAsia"/>
        </w:rPr>
        <w:t>物流服务</w:t>
      </w:r>
      <w:r>
        <w:t>  logistics service</w:t>
      </w:r>
    </w:p>
    <w:p>
      <w:pPr>
        <w:pStyle w:val="11"/>
        <w:ind w:firstLine="31680"/>
        <w:rPr>
          <w:rFonts w:hAnsi="宋体"/>
        </w:rPr>
      </w:pPr>
      <w:r>
        <w:rPr>
          <w:rFonts w:hAnsi="宋体"/>
        </w:rPr>
        <w:t>为满足客户需求所实施的一系列物流活动过程及其产生的结果。</w:t>
      </w:r>
    </w:p>
    <w:p>
      <w:pPr>
        <w:pStyle w:val="11"/>
        <w:ind w:firstLine="31680"/>
        <w:rPr>
          <w:rFonts w:hAnsi="宋体"/>
        </w:rPr>
      </w:pPr>
      <w:r>
        <w:rPr>
          <w:rFonts w:hAnsi="宋体"/>
        </w:rPr>
        <w:t>【</w:t>
      </w:r>
      <w:r>
        <w:t xml:space="preserve">GB/T </w:t>
      </w:r>
      <w:r>
        <w:rPr>
          <w:rFonts w:hAnsi="宋体"/>
        </w:rPr>
        <w:t>18354</w:t>
      </w:r>
      <w:r>
        <w:rPr>
          <w:rFonts w:hAnsi="宋体" w:eastAsia="宋体"/>
        </w:rPr>
        <w:t>-2006</w:t>
      </w:r>
      <w:r>
        <w:rPr>
          <w:rFonts w:hAnsi="宋体"/>
        </w:rPr>
        <w:t>，定义</w:t>
      </w:r>
      <w:r>
        <w:rPr>
          <w:rFonts w:hAnsi="宋体" w:eastAsia="宋体"/>
        </w:rPr>
        <w:t>2</w:t>
      </w:r>
      <w:r>
        <w:rPr>
          <w:rFonts w:hAnsi="宋体"/>
        </w:rPr>
        <w:t>.</w:t>
      </w:r>
      <w:r>
        <w:rPr>
          <w:rFonts w:hAnsi="宋体" w:eastAsia="宋体"/>
        </w:rPr>
        <w:t>7</w:t>
      </w:r>
      <w:r>
        <w:rPr>
          <w:rFonts w:hAnsi="宋体"/>
        </w:rPr>
        <w:t>】</w:t>
      </w:r>
    </w:p>
    <w:p>
      <w:pPr>
        <w:pStyle w:val="13"/>
        <w:numPr>
          <w:ilvl w:val="1"/>
          <w:numId w:val="0"/>
        </w:numPr>
        <w:spacing w:before="156" w:after="156"/>
      </w:pPr>
      <w:r>
        <w:t xml:space="preserve">3.4 </w:t>
      </w:r>
    </w:p>
    <w:p>
      <w:pPr>
        <w:pStyle w:val="13"/>
        <w:numPr>
          <w:ilvl w:val="1"/>
          <w:numId w:val="0"/>
        </w:numPr>
        <w:spacing w:before="156" w:after="156"/>
        <w:ind w:firstLine="420" w:firstLineChars="200"/>
      </w:pPr>
      <w:r>
        <w:rPr>
          <w:rFonts w:hint="eastAsia"/>
        </w:rPr>
        <w:t>综合物流服务</w:t>
      </w:r>
      <w:r>
        <w:t xml:space="preserve">  integrated logistics service</w:t>
      </w:r>
    </w:p>
    <w:p>
      <w:pPr>
        <w:pStyle w:val="11"/>
        <w:ind w:firstLine="31680"/>
        <w:rPr>
          <w:rFonts w:hAnsi="宋体"/>
        </w:rPr>
      </w:pPr>
      <w:r>
        <w:rPr>
          <w:rFonts w:hAnsi="宋体"/>
        </w:rPr>
        <w:t>为客户制定系统化物流功能解决方案，并组织实施的物流服务。</w:t>
      </w:r>
    </w:p>
    <w:p>
      <w:pPr>
        <w:pStyle w:val="11"/>
        <w:ind w:firstLine="31680"/>
        <w:rPr>
          <w:rFonts w:hAnsi="宋体" w:eastAsia="宋体"/>
        </w:rPr>
      </w:pPr>
      <w:r>
        <w:rPr>
          <w:rFonts w:hAnsi="宋体"/>
        </w:rPr>
        <w:t>【</w:t>
      </w:r>
      <w:r>
        <w:t>GB/T 19680</w:t>
      </w:r>
      <w:r>
        <w:rPr>
          <w:rFonts w:eastAsia="宋体"/>
        </w:rPr>
        <w:t>-2013</w:t>
      </w:r>
      <w:r>
        <w:rPr>
          <w:rFonts w:hAnsi="宋体"/>
        </w:rPr>
        <w:t>，定义3.</w:t>
      </w:r>
      <w:r>
        <w:rPr>
          <w:rFonts w:hAnsi="宋体" w:eastAsia="宋体"/>
        </w:rPr>
        <w:t>3</w:t>
      </w:r>
      <w:r>
        <w:rPr>
          <w:rFonts w:hAnsi="宋体"/>
        </w:rPr>
        <w:t>】</w:t>
      </w:r>
    </w:p>
    <w:p>
      <w:pPr>
        <w:pStyle w:val="13"/>
        <w:numPr>
          <w:ilvl w:val="1"/>
          <w:numId w:val="0"/>
        </w:numPr>
        <w:spacing w:before="156" w:after="156"/>
      </w:pPr>
      <w:r>
        <w:t>3.5</w:t>
      </w:r>
    </w:p>
    <w:p>
      <w:pPr>
        <w:pStyle w:val="13"/>
        <w:numPr>
          <w:ilvl w:val="1"/>
          <w:numId w:val="0"/>
        </w:numPr>
        <w:spacing w:before="156" w:after="156"/>
        <w:ind w:firstLine="420" w:firstLineChars="200"/>
      </w:pPr>
      <w:r>
        <w:rPr>
          <w:rFonts w:hint="eastAsia"/>
        </w:rPr>
        <w:t>诚信文化</w:t>
      </w:r>
      <w:r>
        <w:t xml:space="preserve">  integrity culture</w:t>
      </w:r>
    </w:p>
    <w:p>
      <w:pPr>
        <w:pStyle w:val="11"/>
        <w:ind w:firstLine="31680"/>
        <w:rPr>
          <w:rFonts w:eastAsia="宋体"/>
        </w:rPr>
      </w:pPr>
      <w:r>
        <w:rPr>
          <w:rFonts w:hint="eastAsia" w:eastAsia="宋体"/>
        </w:rPr>
        <w:t>基于诚实守信之上的道德标准、价值观念和历史传统等。</w:t>
      </w:r>
    </w:p>
    <w:p>
      <w:pPr>
        <w:pStyle w:val="11"/>
        <w:ind w:firstLine="31680"/>
        <w:rPr>
          <w:rFonts w:hAnsi="宋体" w:eastAsia="宋体"/>
        </w:rPr>
      </w:pPr>
      <w:r>
        <w:rPr>
          <w:rFonts w:hAnsi="宋体"/>
        </w:rPr>
        <w:t>【</w:t>
      </w:r>
      <w:r>
        <w:t>GB/T 31950</w:t>
      </w:r>
      <w:r>
        <w:rPr>
          <w:rFonts w:eastAsia="宋体"/>
        </w:rPr>
        <w:t>-2015</w:t>
      </w:r>
      <w:r>
        <w:rPr>
          <w:rFonts w:hAnsi="宋体"/>
        </w:rPr>
        <w:t>，定义3.</w:t>
      </w:r>
      <w:r>
        <w:rPr>
          <w:rFonts w:hAnsi="宋体" w:eastAsia="宋体"/>
        </w:rPr>
        <w:t>5</w:t>
      </w:r>
      <w:r>
        <w:rPr>
          <w:rFonts w:hAnsi="宋体"/>
        </w:rPr>
        <w:t>】</w:t>
      </w:r>
    </w:p>
    <w:p>
      <w:pPr>
        <w:pStyle w:val="32"/>
        <w:numPr>
          <w:ilvl w:val="0"/>
          <w:numId w:val="5"/>
        </w:numPr>
        <w:spacing w:before="312" w:after="312"/>
      </w:pPr>
      <w:bookmarkStart w:id="58" w:name="_Toc385787459"/>
      <w:bookmarkStart w:id="59" w:name="_Toc385078487"/>
      <w:bookmarkStart w:id="60" w:name="_Toc374951658"/>
      <w:bookmarkStart w:id="61" w:name="_Toc385787755"/>
      <w:bookmarkStart w:id="62" w:name="_Toc385787083"/>
      <w:bookmarkStart w:id="63" w:name="_Toc374955654"/>
      <w:bookmarkStart w:id="64" w:name="_Toc385787773"/>
      <w:bookmarkStart w:id="65" w:name="_Toc385787418"/>
      <w:bookmarkStart w:id="66" w:name="_Toc374958159"/>
      <w:bookmarkStart w:id="67" w:name="_Toc385787442"/>
      <w:bookmarkStart w:id="68" w:name="_Toc385788396"/>
      <w:bookmarkStart w:id="69" w:name="_Toc385078428"/>
      <w:bookmarkStart w:id="70" w:name="_Toc367869128"/>
      <w:r>
        <w:rPr>
          <w:rFonts w:hint="eastAsia"/>
        </w:rPr>
        <w:t>物流行业诚信服务基本要求</w:t>
      </w:r>
      <w:bookmarkEnd w:id="58"/>
      <w:bookmarkEnd w:id="59"/>
      <w:bookmarkEnd w:id="60"/>
      <w:bookmarkEnd w:id="61"/>
      <w:bookmarkEnd w:id="62"/>
      <w:bookmarkEnd w:id="63"/>
      <w:bookmarkEnd w:id="64"/>
      <w:bookmarkEnd w:id="65"/>
      <w:bookmarkEnd w:id="66"/>
      <w:bookmarkEnd w:id="67"/>
      <w:bookmarkEnd w:id="68"/>
      <w:bookmarkEnd w:id="69"/>
      <w:bookmarkEnd w:id="70"/>
    </w:p>
    <w:p>
      <w:pPr>
        <w:pStyle w:val="13"/>
        <w:numPr>
          <w:ilvl w:val="1"/>
          <w:numId w:val="5"/>
        </w:numPr>
        <w:spacing w:before="156" w:after="156"/>
        <w:ind w:left="0" w:firstLine="0"/>
      </w:pPr>
      <w:r>
        <w:rPr>
          <w:rFonts w:hint="eastAsia"/>
        </w:rPr>
        <w:t>企业</w:t>
      </w:r>
    </w:p>
    <w:p>
      <w:pPr>
        <w:pStyle w:val="11"/>
        <w:ind w:firstLine="31680"/>
      </w:pPr>
      <w:r>
        <w:rPr>
          <w:rFonts w:hint="eastAsia" w:eastAsia="宋体"/>
        </w:rPr>
        <w:t>本标准适用于在工商行政管理部门登记注册，在广东省内有固定经营地址，符合</w:t>
      </w:r>
      <w:r>
        <w:rPr>
          <w:rFonts w:eastAsia="宋体"/>
        </w:rPr>
        <w:t>3.1</w:t>
      </w:r>
      <w:r>
        <w:rPr>
          <w:rFonts w:hint="eastAsia" w:eastAsia="宋体"/>
        </w:rPr>
        <w:t>或</w:t>
      </w:r>
      <w:r>
        <w:rPr>
          <w:rFonts w:eastAsia="宋体"/>
        </w:rPr>
        <w:t>3.2</w:t>
      </w:r>
      <w:r>
        <w:rPr>
          <w:rFonts w:hint="eastAsia" w:eastAsia="宋体"/>
        </w:rPr>
        <w:t>的企业</w:t>
      </w:r>
      <w:r>
        <w:t>。根据以物流服务某项功能为主要特征，并向物流服务其它功能延伸的不同状况，划分</w:t>
      </w:r>
      <w:r>
        <w:rPr>
          <w:rFonts w:hint="eastAsia" w:eastAsia="宋体"/>
        </w:rPr>
        <w:t>评估</w:t>
      </w:r>
      <w:r>
        <w:t>类型。</w:t>
      </w:r>
    </w:p>
    <w:p>
      <w:pPr>
        <w:pStyle w:val="13"/>
        <w:numPr>
          <w:ilvl w:val="1"/>
          <w:numId w:val="5"/>
        </w:numPr>
        <w:spacing w:before="156" w:after="156"/>
        <w:ind w:left="0" w:firstLine="0"/>
      </w:pPr>
      <w:bookmarkStart w:id="71" w:name="_Toc367869130"/>
      <w:bookmarkStart w:id="72" w:name="_Toc385788398"/>
      <w:bookmarkStart w:id="73" w:name="_Toc385078430"/>
      <w:bookmarkStart w:id="74" w:name="_Toc385787085"/>
      <w:bookmarkStart w:id="75" w:name="_Toc374951660"/>
      <w:bookmarkStart w:id="76" w:name="_Toc385787444"/>
      <w:bookmarkStart w:id="77" w:name="_Toc385078489"/>
      <w:bookmarkStart w:id="78" w:name="_Toc385787775"/>
      <w:bookmarkStart w:id="79" w:name="_Toc385787461"/>
      <w:bookmarkStart w:id="80" w:name="_Toc374955656"/>
      <w:bookmarkStart w:id="81" w:name="_Toc374958161"/>
      <w:bookmarkStart w:id="82" w:name="_Toc385787420"/>
      <w:r>
        <w:rPr>
          <w:rFonts w:hint="eastAsia"/>
        </w:rPr>
        <w:t>资产及设施设备</w:t>
      </w:r>
      <w:bookmarkEnd w:id="71"/>
      <w:bookmarkEnd w:id="72"/>
      <w:bookmarkEnd w:id="73"/>
      <w:bookmarkEnd w:id="74"/>
      <w:bookmarkEnd w:id="75"/>
      <w:bookmarkEnd w:id="76"/>
      <w:bookmarkEnd w:id="77"/>
      <w:bookmarkEnd w:id="78"/>
      <w:bookmarkEnd w:id="79"/>
      <w:bookmarkEnd w:id="80"/>
      <w:bookmarkEnd w:id="81"/>
      <w:bookmarkEnd w:id="82"/>
    </w:p>
    <w:p>
      <w:pPr>
        <w:pStyle w:val="11"/>
        <w:ind w:firstLine="0" w:firstLineChars="0"/>
      </w:pPr>
      <w:r>
        <w:t xml:space="preserve">4.2.1 </w:t>
      </w:r>
      <w:r>
        <w:rPr>
          <w:rFonts w:hint="eastAsia" w:eastAsia="宋体"/>
        </w:rPr>
        <w:t>物流企业应确保与提供物流服务相适应的资产规模</w:t>
      </w:r>
      <w:r>
        <w:t>。</w:t>
      </w:r>
    </w:p>
    <w:p>
      <w:pPr>
        <w:pStyle w:val="11"/>
        <w:ind w:firstLine="0" w:firstLineChars="0"/>
        <w:rPr>
          <w:rFonts w:eastAsia="宋体"/>
        </w:rPr>
      </w:pPr>
      <w:r>
        <w:t xml:space="preserve">4.2.2 </w:t>
      </w:r>
      <w:r>
        <w:rPr>
          <w:rFonts w:hint="eastAsia" w:eastAsia="宋体"/>
        </w:rPr>
        <w:t>物流企业应确定、提供并维护用于提供物流服务的设施设备，确保设施设备与物流服务相一致，并具备全程管理能力。设施设备包括：</w:t>
      </w:r>
    </w:p>
    <w:p>
      <w:pPr>
        <w:pStyle w:val="11"/>
        <w:ind w:firstLineChars="0"/>
        <w:rPr>
          <w:rFonts w:eastAsia="宋体"/>
        </w:rPr>
      </w:pPr>
      <w:r>
        <w:rPr>
          <w:rFonts w:eastAsia="宋体"/>
        </w:rPr>
        <w:t xml:space="preserve">a)  </w:t>
      </w:r>
      <w:r>
        <w:rPr>
          <w:rFonts w:hint="eastAsia" w:eastAsia="宋体"/>
        </w:rPr>
        <w:t>运输设备和装卸器具</w:t>
      </w:r>
    </w:p>
    <w:p>
      <w:pPr>
        <w:pStyle w:val="11"/>
        <w:ind w:firstLineChars="0"/>
        <w:rPr>
          <w:rFonts w:eastAsia="宋体"/>
        </w:rPr>
      </w:pPr>
      <w:r>
        <w:rPr>
          <w:rFonts w:eastAsia="宋体"/>
        </w:rPr>
        <w:t xml:space="preserve">b)  </w:t>
      </w:r>
      <w:r>
        <w:rPr>
          <w:rFonts w:hint="eastAsia" w:eastAsia="宋体"/>
        </w:rPr>
        <w:t>仓储设施和附属设施</w:t>
      </w:r>
    </w:p>
    <w:p>
      <w:pPr>
        <w:pStyle w:val="11"/>
        <w:ind w:firstLineChars="0"/>
        <w:rPr>
          <w:rFonts w:eastAsia="宋体"/>
        </w:rPr>
      </w:pPr>
      <w:r>
        <w:rPr>
          <w:rFonts w:eastAsia="宋体"/>
        </w:rPr>
        <w:t xml:space="preserve">c)  </w:t>
      </w:r>
      <w:r>
        <w:rPr>
          <w:rFonts w:hint="eastAsia" w:eastAsia="宋体"/>
        </w:rPr>
        <w:t>信息系统设施</w:t>
      </w:r>
    </w:p>
    <w:p>
      <w:pPr>
        <w:pStyle w:val="11"/>
        <w:ind w:firstLine="0" w:firstLineChars="0"/>
        <w:rPr>
          <w:rFonts w:eastAsia="宋体"/>
        </w:rPr>
      </w:pPr>
      <w:r>
        <w:t>4.2.3</w:t>
      </w:r>
      <w:r>
        <w:rPr>
          <w:rFonts w:eastAsia="宋体"/>
        </w:rPr>
        <w:t xml:space="preserve"> </w:t>
      </w:r>
      <w:r>
        <w:t>作业现场规划合理</w:t>
      </w:r>
      <w:r>
        <w:rPr>
          <w:rFonts w:hint="eastAsia" w:eastAsia="宋体"/>
        </w:rPr>
        <w:t>，按功能区域划分清晰</w:t>
      </w:r>
      <w:r>
        <w:t>，标识规范，保持</w:t>
      </w:r>
      <w:r>
        <w:rPr>
          <w:rFonts w:hint="eastAsia" w:eastAsia="宋体"/>
        </w:rPr>
        <w:t>安全</w:t>
      </w:r>
      <w:r>
        <w:t>整洁卫生。</w:t>
      </w:r>
    </w:p>
    <w:p>
      <w:pPr>
        <w:pStyle w:val="11"/>
        <w:ind w:firstLine="0" w:firstLineChars="0"/>
        <w:rPr>
          <w:rFonts w:eastAsia="宋体"/>
        </w:rPr>
      </w:pPr>
      <w:r>
        <w:rPr>
          <w:rFonts w:eastAsia="宋体"/>
        </w:rPr>
        <w:t xml:space="preserve">4.2.4 </w:t>
      </w:r>
      <w:r>
        <w:rPr>
          <w:rFonts w:hint="eastAsia" w:eastAsia="宋体"/>
        </w:rPr>
        <w:t>设施设备应符合相关标准。</w:t>
      </w:r>
    </w:p>
    <w:p>
      <w:pPr>
        <w:pStyle w:val="13"/>
        <w:numPr>
          <w:ilvl w:val="1"/>
          <w:numId w:val="5"/>
        </w:numPr>
        <w:spacing w:before="156" w:after="156"/>
        <w:ind w:left="0" w:firstLine="0"/>
      </w:pPr>
      <w:bookmarkStart w:id="83" w:name="_Toc374955658"/>
      <w:bookmarkStart w:id="84" w:name="_Toc385078490"/>
      <w:bookmarkStart w:id="85" w:name="_Toc385788399"/>
      <w:bookmarkStart w:id="86" w:name="_Toc367869132"/>
      <w:bookmarkStart w:id="87" w:name="_Toc385078431"/>
      <w:bookmarkStart w:id="88" w:name="_Toc385787421"/>
      <w:bookmarkStart w:id="89" w:name="_Toc374951662"/>
      <w:bookmarkStart w:id="90" w:name="_Toc374958163"/>
      <w:bookmarkStart w:id="91" w:name="_Toc385787445"/>
      <w:bookmarkStart w:id="92" w:name="_Toc385787086"/>
      <w:bookmarkStart w:id="93" w:name="_Toc385787462"/>
      <w:bookmarkStart w:id="94" w:name="_Toc385787776"/>
      <w:r>
        <w:rPr>
          <w:rFonts w:hint="eastAsia"/>
        </w:rPr>
        <w:t>信息</w:t>
      </w:r>
      <w:bookmarkEnd w:id="83"/>
      <w:bookmarkEnd w:id="84"/>
      <w:bookmarkEnd w:id="85"/>
      <w:bookmarkEnd w:id="86"/>
      <w:bookmarkEnd w:id="87"/>
      <w:bookmarkEnd w:id="88"/>
      <w:bookmarkEnd w:id="89"/>
      <w:bookmarkEnd w:id="90"/>
      <w:bookmarkEnd w:id="91"/>
      <w:bookmarkEnd w:id="92"/>
      <w:bookmarkEnd w:id="93"/>
      <w:bookmarkEnd w:id="94"/>
      <w:r>
        <w:rPr>
          <w:rFonts w:hint="eastAsia"/>
        </w:rPr>
        <w:t>技术</w:t>
      </w:r>
    </w:p>
    <w:p>
      <w:pPr>
        <w:pStyle w:val="11"/>
        <w:ind w:firstLine="0" w:firstLineChars="0"/>
        <w:rPr>
          <w:rFonts w:eastAsia="宋体"/>
        </w:rPr>
      </w:pPr>
      <w:r>
        <w:t>4.</w:t>
      </w:r>
      <w:r>
        <w:rPr>
          <w:rFonts w:eastAsia="宋体"/>
        </w:rPr>
        <w:t>3</w:t>
      </w:r>
      <w:r>
        <w:t>.1</w:t>
      </w:r>
      <w:r>
        <w:rPr>
          <w:rFonts w:eastAsia="宋体"/>
        </w:rPr>
        <w:t xml:space="preserve"> </w:t>
      </w:r>
      <w:r>
        <w:t>物流经营业务信息全部网络化管理。</w:t>
      </w:r>
    </w:p>
    <w:p>
      <w:pPr>
        <w:pStyle w:val="11"/>
        <w:ind w:firstLine="0" w:firstLineChars="0"/>
        <w:rPr>
          <w:rFonts w:eastAsia="宋体"/>
        </w:rPr>
      </w:pPr>
      <w:r>
        <w:rPr>
          <w:rFonts w:eastAsia="宋体"/>
        </w:rPr>
        <w:t xml:space="preserve">4.3.2 </w:t>
      </w:r>
      <w:r>
        <w:rPr>
          <w:rFonts w:hint="eastAsia" w:eastAsia="宋体"/>
        </w:rPr>
        <w:t>运输设备应装有适当的监控设备。</w:t>
      </w:r>
    </w:p>
    <w:p>
      <w:pPr>
        <w:pStyle w:val="11"/>
        <w:ind w:firstLine="0" w:firstLineChars="0"/>
      </w:pPr>
      <w:r>
        <w:t>4.</w:t>
      </w:r>
      <w:r>
        <w:rPr>
          <w:rFonts w:eastAsia="宋体"/>
        </w:rPr>
        <w:t>3</w:t>
      </w:r>
      <w:r>
        <w:t>.</w:t>
      </w:r>
      <w:r>
        <w:rPr>
          <w:rFonts w:eastAsia="宋体"/>
        </w:rPr>
        <w:t xml:space="preserve">3 </w:t>
      </w:r>
      <w:r>
        <w:t>应具备对</w:t>
      </w:r>
      <w:r>
        <w:rPr>
          <w:rFonts w:hint="eastAsia" w:eastAsia="宋体"/>
        </w:rPr>
        <w:t>仓储设施主要区域、</w:t>
      </w:r>
      <w:r>
        <w:t>主通道、货物交接区的监控能力。</w:t>
      </w:r>
    </w:p>
    <w:p>
      <w:pPr>
        <w:pStyle w:val="11"/>
        <w:ind w:firstLine="0" w:firstLineChars="0"/>
        <w:rPr>
          <w:rFonts w:eastAsia="宋体"/>
        </w:rPr>
      </w:pPr>
      <w:r>
        <w:t>4.</w:t>
      </w:r>
      <w:r>
        <w:rPr>
          <w:rFonts w:eastAsia="宋体"/>
        </w:rPr>
        <w:t>3</w:t>
      </w:r>
      <w:r>
        <w:t>.</w:t>
      </w:r>
      <w:r>
        <w:rPr>
          <w:rFonts w:eastAsia="宋体"/>
        </w:rPr>
        <w:t>4</w:t>
      </w:r>
      <w:r>
        <w:t xml:space="preserve"> </w:t>
      </w:r>
      <w:r>
        <w:rPr>
          <w:rFonts w:hint="eastAsia" w:eastAsia="宋体"/>
        </w:rPr>
        <w:t>物流</w:t>
      </w:r>
      <w:r>
        <w:t>服务每个环节应有记录。记录应包括但不限于时间、地点、</w:t>
      </w:r>
      <w:r>
        <w:rPr>
          <w:rFonts w:hint="eastAsia" w:eastAsia="宋体"/>
        </w:rPr>
        <w:t>货</w:t>
      </w:r>
      <w:r>
        <w:t>品名称、规格、数量、发货收货单位等信息。记录应保存不低于6个月，且保存完整。</w:t>
      </w:r>
    </w:p>
    <w:p>
      <w:pPr>
        <w:pStyle w:val="11"/>
        <w:ind w:firstLine="0" w:firstLineChars="0"/>
        <w:rPr>
          <w:rFonts w:eastAsia="宋体"/>
        </w:rPr>
      </w:pPr>
      <w:r>
        <w:t>4.</w:t>
      </w:r>
      <w:r>
        <w:rPr>
          <w:rFonts w:eastAsia="宋体"/>
        </w:rPr>
        <w:t>3</w:t>
      </w:r>
      <w:r>
        <w:t>.</w:t>
      </w:r>
      <w:r>
        <w:rPr>
          <w:rFonts w:eastAsia="宋体"/>
        </w:rPr>
        <w:t xml:space="preserve">5 </w:t>
      </w:r>
      <w:r>
        <w:rPr>
          <w:rFonts w:hint="eastAsia" w:eastAsia="宋体"/>
        </w:rPr>
        <w:t>应具备信息服务功能，可对物流服务全过程进行状态查询。</w:t>
      </w:r>
    </w:p>
    <w:p>
      <w:pPr>
        <w:pStyle w:val="13"/>
        <w:numPr>
          <w:ilvl w:val="1"/>
          <w:numId w:val="5"/>
        </w:numPr>
        <w:spacing w:before="156" w:after="156"/>
        <w:ind w:left="0" w:firstLine="0"/>
      </w:pPr>
      <w:r>
        <w:rPr>
          <w:rFonts w:hint="eastAsia"/>
        </w:rPr>
        <w:t>管理制度</w:t>
      </w:r>
    </w:p>
    <w:p>
      <w:pPr>
        <w:pStyle w:val="11"/>
        <w:ind w:firstLine="0" w:firstLineChars="0"/>
        <w:rPr>
          <w:rFonts w:eastAsia="宋体"/>
        </w:rPr>
      </w:pPr>
      <w:r>
        <w:t>4.</w:t>
      </w:r>
      <w:r>
        <w:rPr>
          <w:rFonts w:eastAsia="宋体"/>
        </w:rPr>
        <w:t>4</w:t>
      </w:r>
      <w:r>
        <w:t>.1</w:t>
      </w:r>
      <w:r>
        <w:rPr>
          <w:rFonts w:eastAsia="宋体"/>
        </w:rPr>
        <w:t xml:space="preserve"> </w:t>
      </w:r>
      <w:r>
        <w:rPr>
          <w:rFonts w:hint="eastAsia" w:eastAsia="宋体"/>
        </w:rPr>
        <w:t>有健全的经营、财务、统计、安全、技术、人力资源等机构和相应的管理制度。</w:t>
      </w:r>
    </w:p>
    <w:p>
      <w:pPr>
        <w:pStyle w:val="11"/>
        <w:ind w:firstLine="0" w:firstLineChars="0"/>
        <w:rPr>
          <w:rFonts w:eastAsia="宋体"/>
        </w:rPr>
      </w:pPr>
      <w:r>
        <w:t>4.</w:t>
      </w:r>
      <w:r>
        <w:rPr>
          <w:rFonts w:eastAsia="宋体"/>
        </w:rPr>
        <w:t>4</w:t>
      </w:r>
      <w:r>
        <w:t>.</w:t>
      </w:r>
      <w:r>
        <w:rPr>
          <w:rFonts w:eastAsia="宋体"/>
        </w:rPr>
        <w:t xml:space="preserve">2 </w:t>
      </w:r>
      <w:r>
        <w:rPr>
          <w:rFonts w:hint="eastAsia" w:eastAsia="宋体"/>
        </w:rPr>
        <w:t>有</w:t>
      </w:r>
      <w:r>
        <w:t>满足委托方需求的</w:t>
      </w:r>
      <w:r>
        <w:rPr>
          <w:rFonts w:hint="eastAsia" w:eastAsia="宋体"/>
        </w:rPr>
        <w:t>物流</w:t>
      </w:r>
      <w:r>
        <w:t>服务操作规范</w:t>
      </w:r>
      <w:r>
        <w:rPr>
          <w:rFonts w:hint="eastAsia" w:eastAsia="宋体"/>
        </w:rPr>
        <w:t>和完善的质量管理体系。</w:t>
      </w:r>
    </w:p>
    <w:p>
      <w:pPr>
        <w:pStyle w:val="11"/>
        <w:ind w:firstLine="0" w:firstLineChars="0"/>
        <w:rPr>
          <w:rFonts w:eastAsia="宋体"/>
        </w:rPr>
      </w:pPr>
      <w:r>
        <w:t>4.</w:t>
      </w:r>
      <w:r>
        <w:rPr>
          <w:rFonts w:eastAsia="宋体"/>
        </w:rPr>
        <w:t>4</w:t>
      </w:r>
      <w:r>
        <w:t>.</w:t>
      </w:r>
      <w:r>
        <w:rPr>
          <w:rFonts w:eastAsia="宋体"/>
        </w:rPr>
        <w:t xml:space="preserve">3 </w:t>
      </w:r>
      <w:r>
        <w:t>有</w:t>
      </w:r>
      <w:r>
        <w:rPr>
          <w:rFonts w:hint="eastAsia" w:eastAsia="宋体"/>
        </w:rPr>
        <w:t>风险识别、评估、控制机制</w:t>
      </w:r>
      <w:r>
        <w:t>。</w:t>
      </w:r>
    </w:p>
    <w:p>
      <w:pPr>
        <w:pStyle w:val="11"/>
        <w:ind w:firstLine="0" w:firstLineChars="0"/>
        <w:rPr>
          <w:rFonts w:eastAsia="宋体"/>
        </w:rPr>
      </w:pPr>
      <w:r>
        <w:rPr>
          <w:rFonts w:eastAsia="宋体"/>
        </w:rPr>
        <w:t xml:space="preserve">4.4.4 </w:t>
      </w:r>
      <w:r>
        <w:rPr>
          <w:rFonts w:hint="eastAsia" w:eastAsia="宋体"/>
        </w:rPr>
        <w:t>有完善的应急保障机制，针对在物流服务环节中，遭遇灾害（如火灾、风灾、水灾等）、突发事件（如设施设备故障等）时的应急制度和应急预案。</w:t>
      </w:r>
    </w:p>
    <w:p>
      <w:pPr>
        <w:pStyle w:val="11"/>
        <w:ind w:firstLine="0" w:firstLineChars="0"/>
        <w:rPr>
          <w:rFonts w:eastAsia="宋体"/>
        </w:rPr>
      </w:pPr>
      <w:r>
        <w:rPr>
          <w:rFonts w:eastAsia="宋体"/>
        </w:rPr>
        <w:t xml:space="preserve">4.4.5 </w:t>
      </w:r>
      <w:r>
        <w:rPr>
          <w:rFonts w:hint="eastAsia" w:eastAsia="宋体"/>
        </w:rPr>
        <w:t>财务报表每年经有资质的会计师事务所进行审计。</w:t>
      </w:r>
    </w:p>
    <w:p>
      <w:pPr>
        <w:pStyle w:val="13"/>
        <w:numPr>
          <w:ilvl w:val="1"/>
          <w:numId w:val="5"/>
        </w:numPr>
        <w:spacing w:before="156" w:after="156"/>
        <w:ind w:left="0" w:firstLine="0"/>
      </w:pPr>
      <w:r>
        <w:rPr>
          <w:rFonts w:hint="eastAsia"/>
        </w:rPr>
        <w:t>经营服务</w:t>
      </w:r>
    </w:p>
    <w:p>
      <w:pPr>
        <w:pStyle w:val="11"/>
        <w:ind w:firstLine="0" w:firstLineChars="0"/>
        <w:rPr>
          <w:rFonts w:eastAsia="宋体"/>
        </w:rPr>
      </w:pPr>
      <w:r>
        <w:t>4.5.1</w:t>
      </w:r>
      <w:r>
        <w:rPr>
          <w:rFonts w:eastAsia="宋体"/>
        </w:rPr>
        <w:t xml:space="preserve"> </w:t>
      </w:r>
      <w:r>
        <w:rPr>
          <w:rFonts w:hint="eastAsia" w:eastAsia="宋体"/>
        </w:rPr>
        <w:t>有向委托方提供物流资源整合、方案设计、业务流程重组、供应链优化、物流信息化、商务服务等方面的综合物流服务能力。</w:t>
      </w:r>
    </w:p>
    <w:p>
      <w:pPr>
        <w:pStyle w:val="11"/>
        <w:ind w:firstLine="0" w:firstLineChars="0"/>
        <w:rPr>
          <w:rFonts w:eastAsia="宋体"/>
        </w:rPr>
      </w:pPr>
      <w:r>
        <w:rPr>
          <w:rFonts w:eastAsia="宋体"/>
        </w:rPr>
        <w:t xml:space="preserve">4.5.2 </w:t>
      </w:r>
      <w:r>
        <w:rPr>
          <w:rFonts w:hint="eastAsia" w:eastAsia="宋体"/>
        </w:rPr>
        <w:t>有良好的资产质量状况。</w:t>
      </w:r>
    </w:p>
    <w:p>
      <w:pPr>
        <w:pStyle w:val="11"/>
        <w:ind w:firstLine="0" w:firstLineChars="0"/>
        <w:rPr>
          <w:rFonts w:eastAsia="宋体"/>
        </w:rPr>
      </w:pPr>
      <w:r>
        <w:rPr>
          <w:rFonts w:eastAsia="宋体"/>
        </w:rPr>
        <w:t xml:space="preserve">4.5.3 </w:t>
      </w:r>
      <w:r>
        <w:rPr>
          <w:rFonts w:hint="eastAsia" w:eastAsia="宋体"/>
        </w:rPr>
        <w:t>有良好的偿债能力。</w:t>
      </w:r>
    </w:p>
    <w:p>
      <w:pPr>
        <w:pStyle w:val="11"/>
        <w:ind w:firstLine="0" w:firstLineChars="0"/>
        <w:rPr>
          <w:rFonts w:eastAsia="宋体"/>
        </w:rPr>
      </w:pPr>
      <w:r>
        <w:rPr>
          <w:rFonts w:eastAsia="宋体"/>
        </w:rPr>
        <w:t xml:space="preserve">4.5.4 </w:t>
      </w:r>
      <w:r>
        <w:rPr>
          <w:rFonts w:hint="eastAsia" w:eastAsia="宋体"/>
        </w:rPr>
        <w:t>有较好的盈利能力。</w:t>
      </w:r>
    </w:p>
    <w:p>
      <w:pPr>
        <w:pStyle w:val="11"/>
        <w:ind w:firstLine="0" w:firstLineChars="0"/>
        <w:rPr>
          <w:rFonts w:eastAsia="宋体"/>
        </w:rPr>
      </w:pPr>
      <w:r>
        <w:rPr>
          <w:rFonts w:eastAsia="宋体"/>
        </w:rPr>
        <w:t xml:space="preserve">4.5.5 </w:t>
      </w:r>
      <w:r>
        <w:rPr>
          <w:rFonts w:hint="eastAsia" w:eastAsia="宋体"/>
        </w:rPr>
        <w:t>有一定的服务创新能力。</w:t>
      </w:r>
    </w:p>
    <w:p>
      <w:pPr>
        <w:pStyle w:val="11"/>
        <w:ind w:firstLine="0" w:firstLineChars="0"/>
        <w:rPr>
          <w:rFonts w:eastAsia="宋体"/>
        </w:rPr>
      </w:pPr>
      <w:r>
        <w:rPr>
          <w:rFonts w:eastAsia="宋体"/>
        </w:rPr>
        <w:t xml:space="preserve">4.5.6 </w:t>
      </w:r>
      <w:r>
        <w:rPr>
          <w:rFonts w:hint="eastAsia" w:eastAsia="宋体"/>
        </w:rPr>
        <w:t>每年定期开展客户满意度调查。</w:t>
      </w:r>
    </w:p>
    <w:p>
      <w:pPr>
        <w:pStyle w:val="13"/>
        <w:numPr>
          <w:ilvl w:val="1"/>
          <w:numId w:val="5"/>
        </w:numPr>
        <w:spacing w:before="156" w:after="156"/>
        <w:ind w:left="0" w:firstLine="0"/>
      </w:pPr>
      <w:r>
        <w:rPr>
          <w:rFonts w:hint="eastAsia"/>
        </w:rPr>
        <w:t>诚信建设</w:t>
      </w:r>
    </w:p>
    <w:p>
      <w:pPr>
        <w:pStyle w:val="11"/>
        <w:spacing w:before="240"/>
        <w:ind w:firstLine="0" w:firstLineChars="0"/>
      </w:pPr>
      <w:r>
        <w:t>4.</w:t>
      </w:r>
      <w:r>
        <w:rPr>
          <w:rFonts w:eastAsia="宋体"/>
        </w:rPr>
        <w:t>6</w:t>
      </w:r>
      <w:r>
        <w:t>.1</w:t>
      </w:r>
      <w:r>
        <w:rPr>
          <w:rFonts w:eastAsia="宋体"/>
        </w:rPr>
        <w:t xml:space="preserve"> </w:t>
      </w:r>
      <w:r>
        <w:rPr>
          <w:rFonts w:hint="eastAsia" w:eastAsia="宋体"/>
        </w:rPr>
        <w:t>物流企业最高管理者应确立企业的诚信文化，并在服务的全流程中实施有效的管理，以维护企业的诚信。</w:t>
      </w:r>
    </w:p>
    <w:p>
      <w:pPr>
        <w:pStyle w:val="11"/>
        <w:ind w:firstLine="0" w:firstLineChars="0"/>
        <w:rPr>
          <w:rFonts w:eastAsia="宋体"/>
        </w:rPr>
      </w:pPr>
      <w:r>
        <w:t>4.</w:t>
      </w:r>
      <w:r>
        <w:rPr>
          <w:rFonts w:eastAsia="宋体"/>
        </w:rPr>
        <w:t>6</w:t>
      </w:r>
      <w:r>
        <w:t>.2</w:t>
      </w:r>
      <w:r>
        <w:rPr>
          <w:rFonts w:eastAsia="宋体"/>
        </w:rPr>
        <w:t xml:space="preserve"> </w:t>
      </w:r>
      <w:r>
        <w:rPr>
          <w:rFonts w:hint="eastAsia" w:eastAsia="宋体"/>
        </w:rPr>
        <w:t>物流企业应确定关键流程的负责人和执行人所需要的诚信管理能力，且基于适当的教育、培训、技能和经验，以确保其应是能够胜任的。</w:t>
      </w:r>
    </w:p>
    <w:p>
      <w:pPr>
        <w:pStyle w:val="11"/>
        <w:ind w:firstLine="0" w:firstLineChars="0"/>
        <w:rPr>
          <w:rFonts w:eastAsia="宋体"/>
        </w:rPr>
      </w:pPr>
      <w:r>
        <w:rPr>
          <w:rFonts w:eastAsia="宋体"/>
        </w:rPr>
        <w:t xml:space="preserve">4.6.3 </w:t>
      </w:r>
      <w:r>
        <w:rPr>
          <w:rFonts w:hint="eastAsia" w:eastAsia="宋体"/>
        </w:rPr>
        <w:t>物流企业应确保员工认识到所从事的活动与企业诚信水平的相关性和重要性，以及如何为实现诚信目标做出恰当的行为。</w:t>
      </w:r>
    </w:p>
    <w:p>
      <w:pPr>
        <w:pStyle w:val="11"/>
        <w:ind w:firstLine="0" w:firstLineChars="0"/>
        <w:rPr>
          <w:rFonts w:eastAsia="宋体"/>
        </w:rPr>
      </w:pPr>
      <w:r>
        <w:rPr>
          <w:rFonts w:eastAsia="宋体"/>
        </w:rPr>
        <w:t xml:space="preserve">4.6.4 </w:t>
      </w:r>
      <w:r>
        <w:t>操作人员应经过上岗专业培训</w:t>
      </w:r>
      <w:r>
        <w:rPr>
          <w:rFonts w:hint="eastAsia" w:eastAsia="宋体"/>
        </w:rPr>
        <w:t>，特种操作岗位持证上岗率应达到</w:t>
      </w:r>
      <w:r>
        <w:rPr>
          <w:rFonts w:eastAsia="宋体"/>
        </w:rPr>
        <w:t>100%</w:t>
      </w:r>
      <w:r>
        <w:t>。</w:t>
      </w:r>
    </w:p>
    <w:p>
      <w:pPr>
        <w:pStyle w:val="11"/>
        <w:ind w:firstLine="0" w:firstLineChars="0"/>
        <w:rPr>
          <w:rFonts w:eastAsia="宋体"/>
        </w:rPr>
      </w:pPr>
      <w:r>
        <w:t>4.</w:t>
      </w:r>
      <w:r>
        <w:rPr>
          <w:rFonts w:eastAsia="宋体"/>
        </w:rPr>
        <w:t>6</w:t>
      </w:r>
      <w:r>
        <w:t>.</w:t>
      </w:r>
      <w:r>
        <w:rPr>
          <w:rFonts w:eastAsia="宋体"/>
        </w:rPr>
        <w:t>5</w:t>
      </w:r>
      <w:r>
        <w:t xml:space="preserve"> </w:t>
      </w:r>
      <w:r>
        <w:rPr>
          <w:rFonts w:hint="eastAsia" w:eastAsia="宋体"/>
        </w:rPr>
        <w:t>物流企业应定期开展诚信培训。</w:t>
      </w:r>
    </w:p>
    <w:p>
      <w:pPr>
        <w:pStyle w:val="11"/>
        <w:ind w:firstLine="0" w:firstLineChars="0"/>
        <w:rPr>
          <w:rFonts w:eastAsia="宋体"/>
        </w:rPr>
      </w:pPr>
      <w:r>
        <w:rPr>
          <w:rFonts w:eastAsia="宋体"/>
        </w:rPr>
        <w:t xml:space="preserve">4.6.6 </w:t>
      </w:r>
      <w:r>
        <w:rPr>
          <w:rFonts w:hint="eastAsia" w:eastAsia="宋体"/>
        </w:rPr>
        <w:t>物流企业应重视品牌培育和建设。</w:t>
      </w:r>
    </w:p>
    <w:p>
      <w:pPr>
        <w:pStyle w:val="13"/>
        <w:numPr>
          <w:ilvl w:val="1"/>
          <w:numId w:val="5"/>
        </w:numPr>
        <w:spacing w:before="156" w:after="156"/>
        <w:ind w:left="0" w:firstLine="0"/>
      </w:pPr>
      <w:r>
        <w:rPr>
          <w:rFonts w:hint="eastAsia"/>
        </w:rPr>
        <w:t>社会责任</w:t>
      </w:r>
    </w:p>
    <w:p>
      <w:pPr>
        <w:pStyle w:val="11"/>
        <w:ind w:firstLine="0" w:firstLineChars="0"/>
        <w:rPr>
          <w:rFonts w:eastAsia="宋体"/>
        </w:rPr>
      </w:pPr>
      <w:r>
        <w:rPr>
          <w:rFonts w:eastAsia="宋体"/>
        </w:rPr>
        <w:t xml:space="preserve">4.7.1 </w:t>
      </w:r>
      <w:r>
        <w:rPr>
          <w:rFonts w:hint="eastAsia" w:eastAsia="宋体"/>
        </w:rPr>
        <w:t>物流企业应承担并履行与企业目标和社会要求相一致的责任和义务，包括但不限于：</w:t>
      </w:r>
    </w:p>
    <w:p>
      <w:pPr>
        <w:pStyle w:val="11"/>
        <w:ind w:firstLineChars="0"/>
        <w:rPr>
          <w:rFonts w:eastAsia="宋体"/>
        </w:rPr>
      </w:pPr>
      <w:r>
        <w:rPr>
          <w:rFonts w:eastAsia="宋体"/>
        </w:rPr>
        <w:t xml:space="preserve">a) </w:t>
      </w:r>
      <w:r>
        <w:rPr>
          <w:rFonts w:hint="eastAsia" w:eastAsia="宋体"/>
        </w:rPr>
        <w:t>依法纳税</w:t>
      </w:r>
    </w:p>
    <w:p>
      <w:pPr>
        <w:pStyle w:val="11"/>
        <w:ind w:firstLineChars="0"/>
        <w:rPr>
          <w:rFonts w:eastAsia="宋体"/>
        </w:rPr>
      </w:pPr>
      <w:r>
        <w:rPr>
          <w:rFonts w:eastAsia="宋体"/>
        </w:rPr>
        <w:t xml:space="preserve">b) </w:t>
      </w:r>
      <w:r>
        <w:rPr>
          <w:rFonts w:hint="eastAsia" w:eastAsia="宋体"/>
        </w:rPr>
        <w:t>工资及支付</w:t>
      </w:r>
    </w:p>
    <w:p>
      <w:pPr>
        <w:pStyle w:val="11"/>
        <w:ind w:firstLineChars="0"/>
        <w:rPr>
          <w:rFonts w:eastAsia="宋体"/>
        </w:rPr>
      </w:pPr>
      <w:r>
        <w:rPr>
          <w:rFonts w:eastAsia="宋体"/>
        </w:rPr>
        <w:t xml:space="preserve">c) </w:t>
      </w:r>
      <w:r>
        <w:rPr>
          <w:rFonts w:hint="eastAsia" w:eastAsia="宋体"/>
        </w:rPr>
        <w:t>劳动福利和社会保障</w:t>
      </w:r>
    </w:p>
    <w:p>
      <w:pPr>
        <w:pStyle w:val="11"/>
        <w:ind w:firstLineChars="0"/>
        <w:rPr>
          <w:rFonts w:eastAsia="宋体"/>
        </w:rPr>
      </w:pPr>
      <w:r>
        <w:rPr>
          <w:rFonts w:eastAsia="宋体"/>
        </w:rPr>
        <w:t xml:space="preserve">d) </w:t>
      </w:r>
      <w:r>
        <w:rPr>
          <w:rFonts w:hint="eastAsia" w:eastAsia="宋体"/>
        </w:rPr>
        <w:t>职业健康安全保障</w:t>
      </w:r>
    </w:p>
    <w:p>
      <w:pPr>
        <w:pStyle w:val="11"/>
        <w:ind w:firstLineChars="0"/>
        <w:rPr>
          <w:rFonts w:eastAsia="宋体"/>
        </w:rPr>
      </w:pPr>
      <w:r>
        <w:rPr>
          <w:rFonts w:eastAsia="宋体"/>
        </w:rPr>
        <w:t xml:space="preserve">e) </w:t>
      </w:r>
      <w:r>
        <w:rPr>
          <w:rFonts w:hint="eastAsia" w:eastAsia="宋体"/>
        </w:rPr>
        <w:t>社会公共安全和人民群众安全</w:t>
      </w:r>
    </w:p>
    <w:p>
      <w:pPr>
        <w:pStyle w:val="11"/>
        <w:ind w:firstLineChars="0"/>
        <w:rPr>
          <w:rFonts w:eastAsia="宋体"/>
        </w:rPr>
      </w:pPr>
      <w:r>
        <w:rPr>
          <w:rFonts w:eastAsia="宋体"/>
        </w:rPr>
        <w:t xml:space="preserve">f) </w:t>
      </w:r>
      <w:r>
        <w:rPr>
          <w:rFonts w:hint="eastAsia" w:eastAsia="宋体"/>
        </w:rPr>
        <w:t>环境保护</w:t>
      </w:r>
    </w:p>
    <w:p>
      <w:pPr>
        <w:pStyle w:val="11"/>
        <w:ind w:firstLineChars="0"/>
        <w:rPr>
          <w:rFonts w:eastAsia="宋体"/>
        </w:rPr>
      </w:pPr>
      <w:r>
        <w:rPr>
          <w:rFonts w:eastAsia="宋体"/>
        </w:rPr>
        <w:t xml:space="preserve">g) </w:t>
      </w:r>
      <w:r>
        <w:rPr>
          <w:rFonts w:hint="eastAsia" w:eastAsia="宋体"/>
        </w:rPr>
        <w:t>社会贡献</w:t>
      </w:r>
    </w:p>
    <w:p>
      <w:pPr>
        <w:pStyle w:val="11"/>
        <w:ind w:firstLine="0" w:firstLineChars="0"/>
        <w:rPr>
          <w:rFonts w:eastAsia="宋体"/>
        </w:rPr>
      </w:pPr>
      <w:r>
        <w:rPr>
          <w:rFonts w:eastAsia="宋体"/>
        </w:rPr>
        <w:t xml:space="preserve">4.7.2 </w:t>
      </w:r>
      <w:r>
        <w:rPr>
          <w:rFonts w:hint="eastAsia" w:eastAsia="宋体"/>
        </w:rPr>
        <w:t>物流企业应在物流服务环节中自觉维护社会公共安全和人民群众安全。</w:t>
      </w:r>
    </w:p>
    <w:p>
      <w:pPr>
        <w:pStyle w:val="11"/>
        <w:ind w:firstLine="0" w:firstLineChars="0"/>
        <w:rPr>
          <w:rFonts w:eastAsia="宋体"/>
        </w:rPr>
      </w:pPr>
      <w:r>
        <w:rPr>
          <w:rFonts w:eastAsia="宋体"/>
        </w:rPr>
        <w:t xml:space="preserve">4.7.3 </w:t>
      </w:r>
      <w:r>
        <w:rPr>
          <w:rFonts w:hint="eastAsia" w:eastAsia="宋体"/>
        </w:rPr>
        <w:t>在遇到自然灾害、突发事件时，物流企业应根据社会需要，提供必要的公益服务。</w:t>
      </w:r>
    </w:p>
    <w:p>
      <w:pPr>
        <w:pStyle w:val="11"/>
        <w:ind w:firstLine="0" w:firstLineChars="0"/>
        <w:rPr>
          <w:rFonts w:eastAsia="宋体"/>
        </w:rPr>
      </w:pPr>
      <w:r>
        <w:rPr>
          <w:rFonts w:eastAsia="宋体"/>
        </w:rPr>
        <w:t xml:space="preserve">4.7.4 </w:t>
      </w:r>
      <w:r>
        <w:rPr>
          <w:rFonts w:hint="eastAsia" w:eastAsia="宋体"/>
        </w:rPr>
        <w:t>物流企业应积极参加行业组织举行的各类型活动，接受委托方、社会大众的监督。</w:t>
      </w:r>
    </w:p>
    <w:p>
      <w:pPr>
        <w:pStyle w:val="32"/>
        <w:numPr>
          <w:ilvl w:val="0"/>
          <w:numId w:val="5"/>
        </w:numPr>
        <w:spacing w:before="312" w:after="312"/>
      </w:pPr>
      <w:bookmarkStart w:id="95" w:name="_Toc385787781"/>
      <w:bookmarkStart w:id="96" w:name="_Toc385787756"/>
      <w:bookmarkStart w:id="97" w:name="_Toc385078495"/>
      <w:bookmarkStart w:id="98" w:name="_Toc385787426"/>
      <w:bookmarkStart w:id="99" w:name="_Toc385787450"/>
      <w:bookmarkStart w:id="100" w:name="_Toc385787467"/>
      <w:bookmarkStart w:id="101" w:name="_Toc385078436"/>
      <w:bookmarkStart w:id="102" w:name="_Toc385788404"/>
      <w:bookmarkStart w:id="103" w:name="_Toc385787091"/>
      <w:bookmarkStart w:id="104" w:name="_Toc319499644"/>
      <w:r>
        <w:rPr>
          <w:rFonts w:hint="eastAsia"/>
        </w:rPr>
        <w:t>物流行业诚信服务评估类型及评估指标</w:t>
      </w:r>
      <w:bookmarkEnd w:id="95"/>
      <w:bookmarkEnd w:id="96"/>
      <w:bookmarkEnd w:id="97"/>
      <w:bookmarkEnd w:id="98"/>
      <w:bookmarkEnd w:id="99"/>
      <w:bookmarkEnd w:id="100"/>
      <w:bookmarkEnd w:id="101"/>
      <w:bookmarkEnd w:id="102"/>
      <w:bookmarkEnd w:id="103"/>
    </w:p>
    <w:p>
      <w:pPr>
        <w:pStyle w:val="13"/>
        <w:numPr>
          <w:ilvl w:val="1"/>
          <w:numId w:val="5"/>
        </w:numPr>
        <w:spacing w:before="156" w:after="156"/>
        <w:ind w:left="0" w:firstLine="0"/>
      </w:pPr>
      <w:bookmarkStart w:id="105" w:name="_Toc385788405"/>
      <w:bookmarkStart w:id="106" w:name="_Toc385787092"/>
      <w:bookmarkStart w:id="107" w:name="_Toc385787451"/>
      <w:bookmarkStart w:id="108" w:name="_Toc385787427"/>
      <w:bookmarkStart w:id="109" w:name="_Toc385787782"/>
      <w:r>
        <w:rPr>
          <w:rFonts w:hint="eastAsia"/>
        </w:rPr>
        <w:t>评估类型</w:t>
      </w:r>
      <w:bookmarkEnd w:id="105"/>
      <w:bookmarkEnd w:id="106"/>
      <w:bookmarkEnd w:id="107"/>
      <w:bookmarkEnd w:id="108"/>
      <w:bookmarkEnd w:id="109"/>
      <w:r>
        <w:rPr>
          <w:rFonts w:hint="eastAsia"/>
        </w:rPr>
        <w:t>划分</w:t>
      </w:r>
    </w:p>
    <w:p>
      <w:pPr>
        <w:pStyle w:val="11"/>
        <w:ind w:firstLine="31680"/>
        <w:rPr>
          <w:rFonts w:eastAsia="宋体"/>
        </w:rPr>
      </w:pPr>
      <w:r>
        <w:rPr>
          <w:rFonts w:hint="eastAsia" w:hAnsi="宋体" w:eastAsia="宋体"/>
        </w:rPr>
        <w:t>评估</w:t>
      </w:r>
      <w:r>
        <w:rPr>
          <w:rFonts w:hAnsi="宋体"/>
        </w:rPr>
        <w:t>类型宜参照</w:t>
      </w:r>
      <w:r>
        <w:t>GB/T 18354-2006的第</w:t>
      </w:r>
      <w:r>
        <w:rPr>
          <w:rFonts w:eastAsia="宋体"/>
        </w:rPr>
        <w:t>3</w:t>
      </w:r>
      <w:r>
        <w:t>章中对物流企业</w:t>
      </w:r>
      <w:r>
        <w:rPr>
          <w:rFonts w:hint="eastAsia" w:eastAsia="宋体"/>
        </w:rPr>
        <w:t>、物流园区的划分</w:t>
      </w:r>
      <w:r>
        <w:t>。</w:t>
      </w:r>
    </w:p>
    <w:p>
      <w:pPr>
        <w:pStyle w:val="13"/>
        <w:numPr>
          <w:ilvl w:val="1"/>
          <w:numId w:val="5"/>
        </w:numPr>
        <w:spacing w:before="156" w:after="156"/>
        <w:ind w:left="0" w:firstLine="0"/>
      </w:pPr>
      <w:r>
        <w:rPr>
          <w:rFonts w:hint="eastAsia"/>
        </w:rPr>
        <w:t>基本条件</w:t>
      </w:r>
    </w:p>
    <w:p>
      <w:pPr>
        <w:pStyle w:val="11"/>
        <w:ind w:firstLine="31680"/>
        <w:rPr>
          <w:rFonts w:eastAsia="宋体"/>
        </w:rPr>
      </w:pPr>
      <w:r>
        <w:rPr>
          <w:rFonts w:hint="eastAsia" w:eastAsia="宋体"/>
        </w:rPr>
        <w:t>物流企业应在工商行政管理部门登记注册，在广东省内有固定经营地址，持续经营三年以上。按法律法规需要经营许可的取得相应经营许可。近三年内未因经营、生产安全、财税、环境、劳资等问题受到行政处罚，或不履行债务被法院强制执行。纳税等级未划定为</w:t>
      </w:r>
      <w:r>
        <w:rPr>
          <w:rFonts w:eastAsia="宋体"/>
        </w:rPr>
        <w:t>D</w:t>
      </w:r>
      <w:r>
        <w:rPr>
          <w:rFonts w:hint="eastAsia" w:eastAsia="宋体"/>
        </w:rPr>
        <w:t>级。</w:t>
      </w:r>
    </w:p>
    <w:p>
      <w:pPr>
        <w:pStyle w:val="13"/>
        <w:numPr>
          <w:ilvl w:val="0"/>
          <w:numId w:val="0"/>
        </w:numPr>
        <w:spacing w:before="156" w:after="156"/>
        <w:rPr>
          <w:rFonts w:eastAsia="宋体"/>
        </w:rPr>
      </w:pPr>
      <w:r>
        <w:rPr>
          <w:rFonts w:eastAsia="宋体"/>
        </w:rPr>
        <w:t>5</w:t>
      </w:r>
      <w:r>
        <w:t xml:space="preserve">.3  </w:t>
      </w:r>
      <w:r>
        <w:rPr>
          <w:rFonts w:hint="eastAsia"/>
        </w:rPr>
        <w:t>评估指标</w:t>
      </w:r>
    </w:p>
    <w:p>
      <w:pPr>
        <w:pStyle w:val="11"/>
        <w:ind w:firstLine="31680"/>
        <w:rPr>
          <w:rFonts w:hAnsi="宋体" w:eastAsia="宋体"/>
        </w:rPr>
      </w:pPr>
      <w:r>
        <w:rPr>
          <w:rFonts w:hAnsi="宋体"/>
        </w:rPr>
        <w:t>物流行业诚信服务评估类型及评估指标见表</w:t>
      </w:r>
      <w:r>
        <w:rPr>
          <w:rFonts w:hAnsi="宋体" w:eastAsia="宋体"/>
        </w:rPr>
        <w:t>1</w:t>
      </w:r>
      <w:r>
        <w:rPr>
          <w:rFonts w:hAnsi="宋体"/>
        </w:rPr>
        <w:t>。</w:t>
      </w:r>
      <w:r>
        <w:rPr>
          <w:rFonts w:hint="eastAsia" w:hAnsi="宋体" w:eastAsia="宋体"/>
        </w:rPr>
        <w:t>评估采取打分累计方式，总分</w:t>
      </w:r>
      <w:r>
        <w:rPr>
          <w:rFonts w:hAnsi="宋体" w:eastAsia="宋体"/>
        </w:rPr>
        <w:t>100</w:t>
      </w:r>
      <w:r>
        <w:rPr>
          <w:rFonts w:hint="eastAsia" w:hAnsi="宋体" w:eastAsia="宋体"/>
        </w:rPr>
        <w:t>。得分</w:t>
      </w:r>
      <w:r>
        <w:rPr>
          <w:rFonts w:hAnsi="宋体" w:eastAsia="宋体"/>
        </w:rPr>
        <w:t>85</w:t>
      </w:r>
      <w:r>
        <w:rPr>
          <w:rFonts w:hint="eastAsia" w:hAnsi="宋体" w:eastAsia="宋体"/>
        </w:rPr>
        <w:t>以上，可评定为广东省诚信物流企业或广东省诚信物流园区。</w:t>
      </w:r>
    </w:p>
    <w:p>
      <w:pPr>
        <w:pStyle w:val="37"/>
        <w:numPr>
          <w:ilvl w:val="0"/>
          <w:numId w:val="1"/>
        </w:numPr>
        <w:spacing w:before="156" w:after="156"/>
        <w:ind w:left="0" w:firstLine="0"/>
      </w:pPr>
      <w:r>
        <w:rPr>
          <w:rFonts w:hint="eastAsia"/>
        </w:rPr>
        <w:t>物流行业诚信服务评估类型及评估指标</w:t>
      </w:r>
    </w:p>
    <w:tbl>
      <w:tblPr>
        <w:tblStyle w:val="9"/>
        <w:tblW w:w="94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2095"/>
        <w:gridCol w:w="3015"/>
        <w:gridCol w:w="2866"/>
        <w:gridCol w:w="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998" w:type="dxa"/>
            <w:gridSpan w:val="2"/>
            <w:vAlign w:val="center"/>
          </w:tcPr>
          <w:p>
            <w:pPr>
              <w:jc w:val="center"/>
              <w:rPr>
                <w:rFonts w:ascii="宋体"/>
                <w:sz w:val="18"/>
                <w:szCs w:val="18"/>
              </w:rPr>
            </w:pPr>
            <w:r>
              <w:rPr>
                <w:rFonts w:hint="eastAsia" w:ascii="宋体" w:hAnsi="宋体"/>
                <w:sz w:val="18"/>
                <w:szCs w:val="18"/>
              </w:rPr>
              <w:t>评估指标</w:t>
            </w:r>
          </w:p>
        </w:tc>
        <w:tc>
          <w:tcPr>
            <w:tcW w:w="5881" w:type="dxa"/>
            <w:gridSpan w:val="2"/>
            <w:vAlign w:val="center"/>
          </w:tcPr>
          <w:p>
            <w:pPr>
              <w:jc w:val="center"/>
              <w:rPr>
                <w:rFonts w:ascii="宋体"/>
                <w:sz w:val="18"/>
                <w:szCs w:val="18"/>
              </w:rPr>
            </w:pPr>
            <w:r>
              <w:rPr>
                <w:rFonts w:hint="eastAsia" w:ascii="宋体" w:hAnsi="宋体"/>
                <w:sz w:val="18"/>
                <w:szCs w:val="18"/>
              </w:rPr>
              <w:t>内</w:t>
            </w:r>
            <w:r>
              <w:rPr>
                <w:rFonts w:ascii="宋体" w:hAnsi="宋体"/>
                <w:sz w:val="18"/>
                <w:szCs w:val="18"/>
              </w:rPr>
              <w:t xml:space="preserve">    </w:t>
            </w:r>
            <w:r>
              <w:rPr>
                <w:rFonts w:hint="eastAsia" w:ascii="宋体" w:hAnsi="宋体"/>
                <w:sz w:val="18"/>
                <w:szCs w:val="18"/>
              </w:rPr>
              <w:t>容</w:t>
            </w:r>
          </w:p>
        </w:tc>
        <w:tc>
          <w:tcPr>
            <w:tcW w:w="593" w:type="dxa"/>
            <w:vMerge w:val="restart"/>
            <w:vAlign w:val="center"/>
          </w:tcPr>
          <w:p>
            <w:pPr>
              <w:widowControl/>
              <w:jc w:val="center"/>
              <w:rPr>
                <w:rFonts w:ascii="宋体"/>
                <w:sz w:val="18"/>
                <w:szCs w:val="18"/>
              </w:rPr>
            </w:pPr>
            <w:r>
              <w:rPr>
                <w:rFonts w:hint="eastAsia" w:ascii="宋体" w:hAnsi="宋体"/>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Align w:val="center"/>
          </w:tcPr>
          <w:p>
            <w:pPr>
              <w:jc w:val="center"/>
              <w:rPr>
                <w:rFonts w:ascii="宋体"/>
                <w:sz w:val="18"/>
                <w:szCs w:val="18"/>
              </w:rPr>
            </w:pPr>
            <w:r>
              <w:rPr>
                <w:rFonts w:hint="eastAsia" w:ascii="宋体" w:hAnsi="宋体"/>
                <w:sz w:val="18"/>
                <w:szCs w:val="18"/>
              </w:rPr>
              <w:t>项目</w:t>
            </w:r>
          </w:p>
        </w:tc>
        <w:tc>
          <w:tcPr>
            <w:tcW w:w="2095" w:type="dxa"/>
            <w:vAlign w:val="center"/>
          </w:tcPr>
          <w:p>
            <w:pPr>
              <w:jc w:val="center"/>
              <w:rPr>
                <w:rFonts w:ascii="宋体"/>
                <w:sz w:val="18"/>
                <w:szCs w:val="18"/>
              </w:rPr>
            </w:pPr>
            <w:r>
              <w:rPr>
                <w:rFonts w:hint="eastAsia" w:ascii="宋体" w:hAnsi="宋体"/>
                <w:sz w:val="18"/>
                <w:szCs w:val="18"/>
              </w:rPr>
              <w:t>细项</w:t>
            </w:r>
          </w:p>
        </w:tc>
        <w:tc>
          <w:tcPr>
            <w:tcW w:w="3015" w:type="dxa"/>
            <w:vAlign w:val="center"/>
          </w:tcPr>
          <w:p>
            <w:pPr>
              <w:jc w:val="center"/>
              <w:rPr>
                <w:rFonts w:ascii="宋体"/>
                <w:sz w:val="18"/>
                <w:szCs w:val="18"/>
              </w:rPr>
            </w:pPr>
            <w:r>
              <w:rPr>
                <w:rFonts w:hint="eastAsia" w:ascii="宋体" w:hAnsi="宋体"/>
                <w:sz w:val="18"/>
                <w:szCs w:val="18"/>
              </w:rPr>
              <w:t>物流企业</w:t>
            </w:r>
          </w:p>
        </w:tc>
        <w:tc>
          <w:tcPr>
            <w:tcW w:w="2866" w:type="dxa"/>
            <w:vAlign w:val="center"/>
          </w:tcPr>
          <w:p>
            <w:pPr>
              <w:jc w:val="center"/>
              <w:rPr>
                <w:rFonts w:ascii="宋体"/>
                <w:sz w:val="18"/>
                <w:szCs w:val="18"/>
              </w:rPr>
            </w:pPr>
            <w:r>
              <w:rPr>
                <w:rFonts w:hint="eastAsia" w:ascii="宋体" w:hAnsi="宋体"/>
                <w:sz w:val="18"/>
                <w:szCs w:val="18"/>
              </w:rPr>
              <w:t>物流园区</w:t>
            </w:r>
          </w:p>
        </w:tc>
        <w:tc>
          <w:tcPr>
            <w:tcW w:w="593" w:type="dxa"/>
            <w:vMerge w:val="continue"/>
          </w:tcPr>
          <w:p>
            <w:pPr>
              <w:widowControl/>
              <w:jc w:val="left"/>
              <w:rPr>
                <w:rFonts w:asci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设施</w:t>
            </w:r>
          </w:p>
          <w:p>
            <w:pPr>
              <w:jc w:val="center"/>
              <w:rPr>
                <w:rFonts w:ascii="宋体"/>
                <w:sz w:val="18"/>
                <w:szCs w:val="18"/>
              </w:rPr>
            </w:pPr>
            <w:r>
              <w:rPr>
                <w:rFonts w:hint="eastAsia" w:ascii="宋体" w:hAnsi="宋体"/>
                <w:sz w:val="18"/>
                <w:szCs w:val="18"/>
              </w:rPr>
              <w:t>设备</w:t>
            </w:r>
          </w:p>
          <w:p>
            <w:pPr>
              <w:jc w:val="center"/>
              <w:rPr>
                <w:rFonts w:ascii="宋体"/>
                <w:sz w:val="18"/>
                <w:szCs w:val="18"/>
              </w:rPr>
            </w:pPr>
            <w:r>
              <w:rPr>
                <w:rFonts w:hint="eastAsia" w:ascii="宋体" w:hAnsi="宋体"/>
                <w:sz w:val="18"/>
                <w:szCs w:val="18"/>
              </w:rPr>
              <w:t>（</w:t>
            </w:r>
            <w:r>
              <w:rPr>
                <w:rFonts w:ascii="宋体" w:hAnsi="宋体"/>
                <w:sz w:val="18"/>
                <w:szCs w:val="18"/>
              </w:rPr>
              <w:t>6</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1.</w:t>
            </w:r>
            <w:r>
              <w:rPr>
                <w:rFonts w:hint="eastAsia" w:ascii="宋体" w:hAnsi="宋体"/>
                <w:sz w:val="18"/>
                <w:szCs w:val="18"/>
              </w:rPr>
              <w:t>运输车辆数量</w:t>
            </w:r>
            <w:r>
              <w:rPr>
                <w:rFonts w:ascii="宋体" w:hAnsi="宋体"/>
                <w:sz w:val="18"/>
                <w:szCs w:val="18"/>
              </w:rPr>
              <w:t>/</w:t>
            </w:r>
            <w:r>
              <w:rPr>
                <w:rFonts w:hint="eastAsia" w:ascii="宋体" w:hAnsi="宋体"/>
                <w:sz w:val="18"/>
                <w:szCs w:val="18"/>
              </w:rPr>
              <w:t>台</w:t>
            </w:r>
          </w:p>
          <w:p>
            <w:pPr>
              <w:ind w:firstLine="90" w:firstLineChars="50"/>
              <w:rPr>
                <w:rFonts w:ascii="宋体"/>
                <w:sz w:val="18"/>
                <w:szCs w:val="18"/>
              </w:rPr>
            </w:pPr>
            <w:r>
              <w:rPr>
                <w:rFonts w:hint="eastAsia" w:ascii="宋体" w:hAnsi="宋体"/>
                <w:sz w:val="18"/>
                <w:szCs w:val="18"/>
              </w:rPr>
              <w:t>（或总载重量</w:t>
            </w:r>
            <w:r>
              <w:rPr>
                <w:rFonts w:ascii="宋体" w:hAnsi="宋体"/>
                <w:sz w:val="18"/>
                <w:szCs w:val="18"/>
              </w:rPr>
              <w:t>/</w:t>
            </w:r>
            <w:r>
              <w:rPr>
                <w:rFonts w:hint="eastAsia" w:ascii="宋体" w:hAnsi="宋体"/>
                <w:sz w:val="18"/>
                <w:szCs w:val="18"/>
              </w:rPr>
              <w:t>吨）或</w:t>
            </w:r>
          </w:p>
          <w:p>
            <w:pPr>
              <w:ind w:firstLine="180" w:firstLineChars="100"/>
              <w:rPr>
                <w:rFonts w:ascii="宋体"/>
                <w:sz w:val="18"/>
                <w:szCs w:val="18"/>
              </w:rPr>
            </w:pPr>
            <w:r>
              <w:rPr>
                <w:rFonts w:hint="eastAsia" w:ascii="宋体" w:hAnsi="宋体"/>
                <w:sz w:val="18"/>
                <w:szCs w:val="18"/>
              </w:rPr>
              <w:t>仓储面积</w:t>
            </w:r>
            <w:r>
              <w:rPr>
                <w:rFonts w:ascii="宋体" w:hAnsi="宋体"/>
                <w:sz w:val="18"/>
                <w:szCs w:val="18"/>
              </w:rPr>
              <w:t>/</w:t>
            </w:r>
            <w:r>
              <w:rPr>
                <w:rFonts w:hint="eastAsia" w:ascii="宋体" w:hAnsi="宋体"/>
                <w:sz w:val="18"/>
                <w:szCs w:val="18"/>
              </w:rPr>
              <w:t>㎡</w:t>
            </w:r>
          </w:p>
        </w:tc>
        <w:tc>
          <w:tcPr>
            <w:tcW w:w="3015" w:type="dxa"/>
            <w:vAlign w:val="center"/>
          </w:tcPr>
          <w:p>
            <w:pPr>
              <w:jc w:val="center"/>
              <w:rPr>
                <w:rFonts w:ascii="宋体"/>
                <w:sz w:val="18"/>
                <w:szCs w:val="18"/>
              </w:rPr>
            </w:pPr>
            <w:r>
              <w:rPr>
                <w:rFonts w:hint="eastAsia" w:ascii="宋体" w:hAnsi="宋体"/>
                <w:sz w:val="18"/>
                <w:szCs w:val="18"/>
              </w:rPr>
              <w:t>自有或租赁车辆≥</w:t>
            </w:r>
            <w:r>
              <w:rPr>
                <w:rFonts w:ascii="宋体" w:hAnsi="宋体"/>
                <w:sz w:val="18"/>
                <w:szCs w:val="18"/>
              </w:rPr>
              <w:t>100</w:t>
            </w:r>
          </w:p>
          <w:p>
            <w:pPr>
              <w:jc w:val="center"/>
              <w:rPr>
                <w:rFonts w:ascii="宋体"/>
                <w:sz w:val="18"/>
                <w:szCs w:val="18"/>
              </w:rPr>
            </w:pPr>
            <w:r>
              <w:rPr>
                <w:rFonts w:hint="eastAsia" w:ascii="宋体" w:hAnsi="宋体"/>
                <w:sz w:val="18"/>
                <w:szCs w:val="18"/>
              </w:rPr>
              <w:t>（总载重量≥</w:t>
            </w:r>
            <w:r>
              <w:rPr>
                <w:rFonts w:ascii="宋体" w:hAnsi="宋体"/>
                <w:sz w:val="18"/>
                <w:szCs w:val="18"/>
              </w:rPr>
              <w:t>500</w:t>
            </w:r>
            <w:r>
              <w:rPr>
                <w:rFonts w:hint="eastAsia" w:ascii="宋体" w:hAnsi="宋体"/>
                <w:sz w:val="18"/>
                <w:szCs w:val="18"/>
              </w:rPr>
              <w:t>）</w:t>
            </w:r>
          </w:p>
        </w:tc>
        <w:tc>
          <w:tcPr>
            <w:tcW w:w="2866" w:type="dxa"/>
            <w:vAlign w:val="center"/>
          </w:tcPr>
          <w:p>
            <w:pPr>
              <w:jc w:val="center"/>
              <w:rPr>
                <w:rFonts w:ascii="宋体"/>
                <w:sz w:val="18"/>
                <w:szCs w:val="18"/>
              </w:rPr>
            </w:pPr>
            <w:r>
              <w:rPr>
                <w:rFonts w:hint="eastAsia" w:ascii="宋体" w:hAnsi="宋体"/>
                <w:sz w:val="18"/>
                <w:szCs w:val="18"/>
              </w:rPr>
              <w:t>自有或租赁仓储面积≥</w:t>
            </w:r>
            <w:r>
              <w:rPr>
                <w:rFonts w:ascii="宋体" w:hAnsi="宋体"/>
                <w:sz w:val="18"/>
                <w:szCs w:val="18"/>
              </w:rPr>
              <w:t>30000</w:t>
            </w:r>
          </w:p>
        </w:tc>
        <w:tc>
          <w:tcPr>
            <w:tcW w:w="593" w:type="dxa"/>
          </w:tcPr>
          <w:p>
            <w:pPr>
              <w:widowControl/>
              <w:jc w:val="center"/>
              <w:rPr>
                <w:rFonts w:ascii="宋体"/>
                <w:sz w:val="18"/>
                <w:szCs w:val="18"/>
              </w:rPr>
            </w:pPr>
          </w:p>
          <w:p>
            <w:pPr>
              <w:widowControl/>
              <w:jc w:val="center"/>
              <w:rPr>
                <w:rFonts w:asci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w:t>
            </w:r>
            <w:r>
              <w:rPr>
                <w:rFonts w:hint="eastAsia" w:ascii="宋体" w:hAnsi="宋体"/>
                <w:sz w:val="18"/>
                <w:szCs w:val="18"/>
              </w:rPr>
              <w:t>设施设备管理</w:t>
            </w:r>
          </w:p>
        </w:tc>
        <w:tc>
          <w:tcPr>
            <w:tcW w:w="3015" w:type="dxa"/>
            <w:vAlign w:val="center"/>
          </w:tcPr>
          <w:p>
            <w:pPr>
              <w:jc w:val="center"/>
              <w:rPr>
                <w:rFonts w:ascii="宋体"/>
                <w:sz w:val="18"/>
                <w:szCs w:val="18"/>
              </w:rPr>
            </w:pPr>
            <w:r>
              <w:rPr>
                <w:rFonts w:hint="eastAsia" w:ascii="宋体" w:hAnsi="宋体"/>
                <w:sz w:val="18"/>
                <w:szCs w:val="18"/>
              </w:rPr>
              <w:t>运输设备应具备全程管理，标识规范，定期检修维护</w:t>
            </w:r>
          </w:p>
        </w:tc>
        <w:tc>
          <w:tcPr>
            <w:tcW w:w="2866" w:type="dxa"/>
            <w:vAlign w:val="center"/>
          </w:tcPr>
          <w:p>
            <w:pPr>
              <w:jc w:val="center"/>
              <w:rPr>
                <w:rFonts w:ascii="宋体"/>
                <w:sz w:val="18"/>
                <w:szCs w:val="18"/>
              </w:rPr>
            </w:pPr>
            <w:r>
              <w:rPr>
                <w:rFonts w:hint="eastAsia" w:ascii="宋体" w:hAnsi="宋体"/>
                <w:sz w:val="18"/>
                <w:szCs w:val="18"/>
              </w:rPr>
              <w:t>园区规划合理，功能区域划分清晰，标识规范，安全整洁卫生</w:t>
            </w:r>
          </w:p>
        </w:tc>
        <w:tc>
          <w:tcPr>
            <w:tcW w:w="593" w:type="dxa"/>
            <w:vAlign w:val="center"/>
          </w:tcPr>
          <w:p>
            <w:pPr>
              <w:widowControl/>
              <w:jc w:val="center"/>
              <w:rPr>
                <w:rFonts w:asci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3.</w:t>
            </w:r>
            <w:r>
              <w:rPr>
                <w:rFonts w:hint="eastAsia" w:ascii="宋体" w:hAnsi="宋体"/>
                <w:sz w:val="18"/>
                <w:szCs w:val="18"/>
              </w:rPr>
              <w:t>标准化应用</w:t>
            </w:r>
          </w:p>
        </w:tc>
        <w:tc>
          <w:tcPr>
            <w:tcW w:w="5881" w:type="dxa"/>
            <w:gridSpan w:val="2"/>
            <w:vAlign w:val="center"/>
          </w:tcPr>
          <w:p>
            <w:pPr>
              <w:jc w:val="center"/>
              <w:rPr>
                <w:rFonts w:ascii="宋体"/>
                <w:sz w:val="18"/>
                <w:szCs w:val="18"/>
              </w:rPr>
            </w:pPr>
            <w:r>
              <w:rPr>
                <w:rFonts w:hint="eastAsia" w:ascii="宋体" w:hAnsi="宋体"/>
                <w:sz w:val="18"/>
                <w:szCs w:val="18"/>
              </w:rPr>
              <w:t>使用标准化的设施设备及器具（如托盘、包装箱、电子识别装置等）</w:t>
            </w:r>
          </w:p>
        </w:tc>
        <w:tc>
          <w:tcPr>
            <w:tcW w:w="593" w:type="dxa"/>
            <w:vAlign w:val="center"/>
          </w:tcPr>
          <w:p>
            <w:pPr>
              <w:widowControl/>
              <w:jc w:val="center"/>
              <w:rPr>
                <w:rFonts w:asci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信息</w:t>
            </w:r>
          </w:p>
          <w:p>
            <w:pPr>
              <w:jc w:val="center"/>
              <w:rPr>
                <w:rFonts w:ascii="宋体"/>
                <w:sz w:val="18"/>
                <w:szCs w:val="18"/>
              </w:rPr>
            </w:pPr>
            <w:r>
              <w:rPr>
                <w:rFonts w:hint="eastAsia" w:ascii="宋体" w:hAnsi="宋体"/>
                <w:sz w:val="18"/>
                <w:szCs w:val="18"/>
              </w:rPr>
              <w:t>技术</w:t>
            </w:r>
          </w:p>
          <w:p>
            <w:pPr>
              <w:jc w:val="center"/>
              <w:rPr>
                <w:rFonts w:ascii="宋体"/>
                <w:sz w:val="18"/>
                <w:szCs w:val="18"/>
              </w:rPr>
            </w:pPr>
            <w:r>
              <w:rPr>
                <w:rFonts w:hint="eastAsia" w:ascii="宋体" w:hAnsi="宋体"/>
                <w:sz w:val="18"/>
                <w:szCs w:val="18"/>
              </w:rPr>
              <w:t>（</w:t>
            </w:r>
            <w:r>
              <w:rPr>
                <w:rFonts w:ascii="宋体" w:hAnsi="宋体"/>
                <w:sz w:val="18"/>
                <w:szCs w:val="18"/>
              </w:rPr>
              <w:t>8</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4</w:t>
            </w:r>
            <w:r>
              <w:rPr>
                <w:rFonts w:ascii="宋体"/>
                <w:sz w:val="18"/>
                <w:szCs w:val="18"/>
              </w:rPr>
              <w:t>.</w:t>
            </w:r>
            <w:r>
              <w:rPr>
                <w:rFonts w:hint="eastAsia" w:ascii="宋体" w:hAnsi="宋体"/>
                <w:sz w:val="18"/>
                <w:szCs w:val="18"/>
              </w:rPr>
              <w:t>网络系统</w:t>
            </w:r>
          </w:p>
        </w:tc>
        <w:tc>
          <w:tcPr>
            <w:tcW w:w="5881" w:type="dxa"/>
            <w:gridSpan w:val="2"/>
            <w:vAlign w:val="center"/>
          </w:tcPr>
          <w:p>
            <w:pPr>
              <w:jc w:val="center"/>
              <w:rPr>
                <w:rFonts w:ascii="宋体"/>
                <w:sz w:val="18"/>
                <w:szCs w:val="18"/>
              </w:rPr>
            </w:pPr>
            <w:r>
              <w:rPr>
                <w:rFonts w:hint="eastAsia" w:ascii="宋体" w:hAnsi="宋体"/>
                <w:sz w:val="18"/>
                <w:szCs w:val="18"/>
              </w:rPr>
              <w:t>物流经营业务信息全部网络化管理</w:t>
            </w:r>
          </w:p>
        </w:tc>
        <w:tc>
          <w:tcPr>
            <w:tcW w:w="593" w:type="dxa"/>
          </w:tcPr>
          <w:p>
            <w:pPr>
              <w:widowControl/>
              <w:jc w:val="center"/>
              <w:rPr>
                <w:rFonts w:asci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5</w:t>
            </w:r>
            <w:r>
              <w:rPr>
                <w:rFonts w:ascii="宋体"/>
                <w:sz w:val="18"/>
                <w:szCs w:val="18"/>
              </w:rPr>
              <w:t>.</w:t>
            </w:r>
            <w:r>
              <w:rPr>
                <w:rFonts w:hint="eastAsia" w:ascii="宋体" w:hAnsi="宋体"/>
                <w:sz w:val="18"/>
                <w:szCs w:val="18"/>
              </w:rPr>
              <w:t>监控系统</w:t>
            </w:r>
          </w:p>
        </w:tc>
        <w:tc>
          <w:tcPr>
            <w:tcW w:w="3015" w:type="dxa"/>
            <w:vAlign w:val="center"/>
          </w:tcPr>
          <w:p>
            <w:pPr>
              <w:jc w:val="center"/>
              <w:rPr>
                <w:rFonts w:ascii="宋体"/>
                <w:sz w:val="18"/>
                <w:szCs w:val="18"/>
              </w:rPr>
            </w:pPr>
            <w:r>
              <w:rPr>
                <w:rFonts w:hint="eastAsia" w:ascii="宋体" w:hAnsi="宋体"/>
                <w:sz w:val="18"/>
                <w:szCs w:val="18"/>
              </w:rPr>
              <w:t>运输设备应装有适当的监控设备，货物跟踪率≥</w:t>
            </w:r>
            <w:r>
              <w:rPr>
                <w:rFonts w:ascii="宋体" w:hAnsi="宋体"/>
                <w:sz w:val="18"/>
                <w:szCs w:val="18"/>
              </w:rPr>
              <w:t>95%</w:t>
            </w:r>
          </w:p>
        </w:tc>
        <w:tc>
          <w:tcPr>
            <w:tcW w:w="2866" w:type="dxa"/>
            <w:vAlign w:val="center"/>
          </w:tcPr>
          <w:p>
            <w:pPr>
              <w:jc w:val="center"/>
              <w:rPr>
                <w:rFonts w:ascii="宋体"/>
                <w:sz w:val="18"/>
                <w:szCs w:val="18"/>
              </w:rPr>
            </w:pPr>
            <w:r>
              <w:rPr>
                <w:rFonts w:hint="eastAsia" w:ascii="宋体" w:hAnsi="宋体"/>
                <w:sz w:val="18"/>
                <w:szCs w:val="18"/>
              </w:rPr>
              <w:t>仓储设施主要区域、主通道、货物交接区应装有适当的监控设备</w:t>
            </w:r>
          </w:p>
        </w:tc>
        <w:tc>
          <w:tcPr>
            <w:tcW w:w="593" w:type="dxa"/>
            <w:vAlign w:val="center"/>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6.</w:t>
            </w:r>
            <w:r>
              <w:rPr>
                <w:rFonts w:hint="eastAsia" w:ascii="宋体" w:hAnsi="宋体"/>
                <w:sz w:val="18"/>
                <w:szCs w:val="18"/>
              </w:rPr>
              <w:t>信息服务</w:t>
            </w:r>
          </w:p>
        </w:tc>
        <w:tc>
          <w:tcPr>
            <w:tcW w:w="3015" w:type="dxa"/>
            <w:vAlign w:val="center"/>
          </w:tcPr>
          <w:p>
            <w:pPr>
              <w:jc w:val="center"/>
              <w:rPr>
                <w:rFonts w:ascii="宋体"/>
                <w:sz w:val="18"/>
                <w:szCs w:val="18"/>
              </w:rPr>
            </w:pPr>
            <w:r>
              <w:rPr>
                <w:rFonts w:hint="eastAsia" w:ascii="宋体" w:hAnsi="宋体"/>
                <w:sz w:val="18"/>
                <w:szCs w:val="18"/>
              </w:rPr>
              <w:t>物流服务每个环节应有记录，建立自动和人工查询系统</w:t>
            </w:r>
          </w:p>
        </w:tc>
        <w:tc>
          <w:tcPr>
            <w:tcW w:w="2866" w:type="dxa"/>
            <w:vAlign w:val="center"/>
          </w:tcPr>
          <w:p>
            <w:pPr>
              <w:jc w:val="center"/>
              <w:rPr>
                <w:rFonts w:ascii="宋体"/>
                <w:sz w:val="18"/>
                <w:szCs w:val="18"/>
              </w:rPr>
            </w:pPr>
            <w:r>
              <w:rPr>
                <w:rFonts w:hint="eastAsia" w:ascii="宋体" w:hAnsi="宋体"/>
                <w:sz w:val="18"/>
                <w:szCs w:val="18"/>
              </w:rPr>
              <w:t>提供信息发布、在线交易等服务，建立自动和人工查询系统</w:t>
            </w:r>
          </w:p>
        </w:tc>
        <w:tc>
          <w:tcPr>
            <w:tcW w:w="593" w:type="dxa"/>
            <w:vAlign w:val="center"/>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管理</w:t>
            </w:r>
          </w:p>
          <w:p>
            <w:pPr>
              <w:rPr>
                <w:rFonts w:ascii="宋体"/>
                <w:sz w:val="18"/>
                <w:szCs w:val="18"/>
              </w:rPr>
            </w:pPr>
            <w:r>
              <w:rPr>
                <w:rFonts w:ascii="宋体" w:hAnsi="宋体"/>
                <w:sz w:val="18"/>
                <w:szCs w:val="18"/>
              </w:rPr>
              <w:t xml:space="preserve">  </w:t>
            </w:r>
            <w:r>
              <w:rPr>
                <w:rFonts w:hint="eastAsia" w:ascii="宋体" w:hAnsi="宋体"/>
                <w:sz w:val="18"/>
                <w:szCs w:val="18"/>
              </w:rPr>
              <w:t>制度</w:t>
            </w:r>
          </w:p>
          <w:p>
            <w:pPr>
              <w:jc w:val="center"/>
              <w:rPr>
                <w:rFonts w:ascii="宋体"/>
                <w:sz w:val="18"/>
                <w:szCs w:val="18"/>
              </w:rPr>
            </w:pPr>
            <w:r>
              <w:rPr>
                <w:rFonts w:hint="eastAsia" w:ascii="宋体" w:hAnsi="宋体"/>
                <w:sz w:val="18"/>
                <w:szCs w:val="18"/>
              </w:rPr>
              <w:t>（</w:t>
            </w:r>
            <w:r>
              <w:rPr>
                <w:rFonts w:ascii="宋体" w:hAnsi="宋体"/>
                <w:sz w:val="18"/>
                <w:szCs w:val="18"/>
              </w:rPr>
              <w:t>20</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7</w:t>
            </w:r>
            <w:r>
              <w:rPr>
                <w:rFonts w:ascii="宋体"/>
                <w:sz w:val="18"/>
                <w:szCs w:val="18"/>
              </w:rPr>
              <w:t>.</w:t>
            </w:r>
            <w:r>
              <w:rPr>
                <w:rFonts w:hint="eastAsia" w:ascii="宋体" w:hAnsi="宋体"/>
                <w:sz w:val="18"/>
                <w:szCs w:val="18"/>
              </w:rPr>
              <w:t>管理制度</w:t>
            </w:r>
          </w:p>
        </w:tc>
        <w:tc>
          <w:tcPr>
            <w:tcW w:w="5881" w:type="dxa"/>
            <w:gridSpan w:val="2"/>
            <w:vAlign w:val="center"/>
          </w:tcPr>
          <w:p>
            <w:pPr>
              <w:jc w:val="center"/>
              <w:rPr>
                <w:rFonts w:ascii="宋体"/>
                <w:sz w:val="18"/>
                <w:szCs w:val="18"/>
              </w:rPr>
            </w:pPr>
            <w:r>
              <w:rPr>
                <w:rFonts w:hint="eastAsia" w:ascii="宋体" w:hAnsi="宋体"/>
                <w:sz w:val="18"/>
                <w:szCs w:val="18"/>
              </w:rPr>
              <w:t>有健全的经营、财务、统计、安全、技术、人力资源等机构和相应的管理制度</w:t>
            </w:r>
          </w:p>
        </w:tc>
        <w:tc>
          <w:tcPr>
            <w:tcW w:w="593" w:type="dxa"/>
            <w:vAlign w:val="center"/>
          </w:tcPr>
          <w:p>
            <w:pPr>
              <w:widowControl/>
              <w:jc w:val="center"/>
              <w:rPr>
                <w:rFonts w:ascii="宋体"/>
                <w:sz w:val="18"/>
                <w:szCs w:val="18"/>
              </w:rPr>
            </w:pPr>
            <w:r>
              <w:rPr>
                <w:rFonts w:ascii="宋体" w:hAns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8</w:t>
            </w:r>
            <w:r>
              <w:rPr>
                <w:rFonts w:ascii="宋体"/>
                <w:sz w:val="18"/>
                <w:szCs w:val="18"/>
              </w:rPr>
              <w:t>.</w:t>
            </w:r>
            <w:r>
              <w:rPr>
                <w:rFonts w:hint="eastAsia" w:ascii="宋体" w:hAnsi="宋体"/>
                <w:sz w:val="18"/>
                <w:szCs w:val="18"/>
              </w:rPr>
              <w:t>质量管理</w:t>
            </w:r>
          </w:p>
        </w:tc>
        <w:tc>
          <w:tcPr>
            <w:tcW w:w="5881" w:type="dxa"/>
            <w:gridSpan w:val="2"/>
            <w:vAlign w:val="center"/>
          </w:tcPr>
          <w:p>
            <w:pPr>
              <w:jc w:val="center"/>
              <w:rPr>
                <w:rFonts w:ascii="宋体"/>
                <w:sz w:val="18"/>
                <w:szCs w:val="18"/>
              </w:rPr>
            </w:pPr>
            <w:r>
              <w:rPr>
                <w:rFonts w:hint="eastAsia" w:ascii="宋体" w:hAnsi="宋体"/>
                <w:sz w:val="18"/>
                <w:szCs w:val="18"/>
              </w:rPr>
              <w:t>有完善的质量管理体系，并能有效运作</w:t>
            </w:r>
          </w:p>
        </w:tc>
        <w:tc>
          <w:tcPr>
            <w:tcW w:w="593" w:type="dxa"/>
          </w:tcPr>
          <w:p>
            <w:pPr>
              <w:widowControl/>
              <w:jc w:val="center"/>
              <w:rPr>
                <w:rFonts w:ascii="宋体"/>
                <w:sz w:val="18"/>
                <w:szCs w:val="18"/>
              </w:rPr>
            </w:pPr>
            <w:r>
              <w:rPr>
                <w:rFonts w:ascii="宋体" w:hAnsi="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9.</w:t>
            </w:r>
            <w:r>
              <w:rPr>
                <w:rFonts w:hint="eastAsia" w:ascii="宋体" w:hAnsi="宋体"/>
                <w:sz w:val="18"/>
                <w:szCs w:val="18"/>
              </w:rPr>
              <w:t>风险控制机制</w:t>
            </w:r>
          </w:p>
        </w:tc>
        <w:tc>
          <w:tcPr>
            <w:tcW w:w="5881" w:type="dxa"/>
            <w:gridSpan w:val="2"/>
            <w:vAlign w:val="center"/>
          </w:tcPr>
          <w:p>
            <w:pPr>
              <w:jc w:val="center"/>
              <w:rPr>
                <w:rFonts w:ascii="宋体"/>
                <w:sz w:val="18"/>
                <w:szCs w:val="18"/>
              </w:rPr>
            </w:pPr>
            <w:r>
              <w:rPr>
                <w:rFonts w:hint="eastAsia" w:ascii="宋体" w:hAnsi="宋体"/>
                <w:sz w:val="18"/>
                <w:szCs w:val="18"/>
              </w:rPr>
              <w:t>有完善的风险识别、评估和控制机制，针对企业经营、对外投资、提供服务过程可能出现的风险有预警防控能力</w:t>
            </w:r>
          </w:p>
        </w:tc>
        <w:tc>
          <w:tcPr>
            <w:tcW w:w="593" w:type="dxa"/>
            <w:vAlign w:val="center"/>
          </w:tcPr>
          <w:p>
            <w:pPr>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10</w:t>
            </w:r>
            <w:r>
              <w:rPr>
                <w:rFonts w:ascii="宋体"/>
                <w:sz w:val="18"/>
                <w:szCs w:val="18"/>
              </w:rPr>
              <w:t>.</w:t>
            </w:r>
            <w:r>
              <w:rPr>
                <w:rFonts w:hint="eastAsia" w:ascii="宋体" w:hAnsi="宋体"/>
                <w:sz w:val="18"/>
                <w:szCs w:val="18"/>
              </w:rPr>
              <w:t>应急保障机制</w:t>
            </w:r>
          </w:p>
        </w:tc>
        <w:tc>
          <w:tcPr>
            <w:tcW w:w="5881" w:type="dxa"/>
            <w:gridSpan w:val="2"/>
            <w:vAlign w:val="center"/>
          </w:tcPr>
          <w:p>
            <w:pPr>
              <w:jc w:val="center"/>
              <w:rPr>
                <w:rFonts w:ascii="宋体"/>
                <w:sz w:val="18"/>
                <w:szCs w:val="18"/>
              </w:rPr>
            </w:pPr>
            <w:r>
              <w:rPr>
                <w:rFonts w:hint="eastAsia" w:ascii="宋体" w:hAnsi="宋体"/>
                <w:sz w:val="18"/>
                <w:szCs w:val="18"/>
              </w:rPr>
              <w:t>有完善的应急保障机制，针对在物流服务环节中，遭遇灾害（如火灾、风灾、水灾等）、突发事件（如断电、设备故障、车辆故障等）时的应急制度和应急预案，定期开展实地模拟演练</w:t>
            </w:r>
          </w:p>
        </w:tc>
        <w:tc>
          <w:tcPr>
            <w:tcW w:w="593" w:type="dxa"/>
            <w:vAlign w:val="center"/>
          </w:tcPr>
          <w:p>
            <w:pPr>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经营</w:t>
            </w:r>
          </w:p>
          <w:p>
            <w:pPr>
              <w:jc w:val="center"/>
              <w:rPr>
                <w:rFonts w:ascii="宋体"/>
                <w:sz w:val="18"/>
                <w:szCs w:val="18"/>
              </w:rPr>
            </w:pPr>
            <w:r>
              <w:rPr>
                <w:rFonts w:hint="eastAsia" w:ascii="宋体" w:hAnsi="宋体"/>
                <w:sz w:val="18"/>
                <w:szCs w:val="18"/>
              </w:rPr>
              <w:t>服务</w:t>
            </w:r>
          </w:p>
          <w:p>
            <w:pPr>
              <w:jc w:val="center"/>
              <w:rPr>
                <w:rFonts w:ascii="宋体"/>
                <w:sz w:val="18"/>
                <w:szCs w:val="18"/>
              </w:rPr>
            </w:pPr>
            <w:r>
              <w:rPr>
                <w:rFonts w:hint="eastAsia" w:ascii="宋体" w:hAnsi="宋体"/>
                <w:sz w:val="18"/>
                <w:szCs w:val="18"/>
              </w:rPr>
              <w:t>（</w:t>
            </w:r>
            <w:r>
              <w:rPr>
                <w:rFonts w:ascii="宋体" w:hAnsi="宋体"/>
                <w:sz w:val="18"/>
                <w:szCs w:val="18"/>
              </w:rPr>
              <w:t>30</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11</w:t>
            </w:r>
            <w:r>
              <w:rPr>
                <w:rFonts w:ascii="宋体"/>
                <w:sz w:val="18"/>
                <w:szCs w:val="18"/>
              </w:rPr>
              <w:t>.</w:t>
            </w:r>
            <w:r>
              <w:rPr>
                <w:rFonts w:hint="eastAsia" w:ascii="宋体" w:hAnsi="宋体"/>
                <w:sz w:val="18"/>
                <w:szCs w:val="18"/>
              </w:rPr>
              <w:t>物流服务能力</w:t>
            </w:r>
          </w:p>
        </w:tc>
        <w:tc>
          <w:tcPr>
            <w:tcW w:w="5881" w:type="dxa"/>
            <w:gridSpan w:val="2"/>
            <w:vAlign w:val="center"/>
          </w:tcPr>
          <w:p>
            <w:pPr>
              <w:jc w:val="center"/>
              <w:rPr>
                <w:rFonts w:ascii="宋体"/>
                <w:sz w:val="18"/>
                <w:szCs w:val="18"/>
              </w:rPr>
            </w:pPr>
            <w:r>
              <w:rPr>
                <w:rFonts w:hint="eastAsia" w:ascii="宋体" w:hAnsi="宋体"/>
                <w:sz w:val="18"/>
                <w:szCs w:val="18"/>
              </w:rPr>
              <w:t>提供物流资源整合、方案设计、业务流程重组、供应链优化、物流信息化、商务服务等方面的综合物流服务</w:t>
            </w:r>
          </w:p>
        </w:tc>
        <w:tc>
          <w:tcPr>
            <w:tcW w:w="593" w:type="dxa"/>
            <w:vAlign w:val="center"/>
          </w:tcPr>
          <w:p>
            <w:pPr>
              <w:widowControl/>
              <w:jc w:val="center"/>
              <w:rPr>
                <w:rFonts w:ascii="宋体"/>
                <w:sz w:val="18"/>
                <w:szCs w:val="18"/>
              </w:rPr>
            </w:pPr>
            <w:r>
              <w:rPr>
                <w:rFonts w:ascii="宋体" w:hAnsi="宋体"/>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12</w:t>
            </w:r>
            <w:r>
              <w:rPr>
                <w:rFonts w:ascii="宋体"/>
                <w:sz w:val="18"/>
                <w:szCs w:val="18"/>
              </w:rPr>
              <w:t>.</w:t>
            </w:r>
            <w:r>
              <w:rPr>
                <w:rFonts w:hint="eastAsia" w:ascii="宋体" w:hAnsi="宋体"/>
                <w:sz w:val="18"/>
                <w:szCs w:val="18"/>
              </w:rPr>
              <w:t>资产负债率（</w:t>
            </w:r>
            <w:r>
              <w:rPr>
                <w:rFonts w:ascii="宋体" w:hAnsi="宋体"/>
                <w:sz w:val="18"/>
                <w:szCs w:val="18"/>
              </w:rPr>
              <w:t>%</w:t>
            </w:r>
            <w:r>
              <w:rPr>
                <w:rFonts w:hint="eastAsia" w:ascii="宋体" w:hAnsi="宋体"/>
                <w:sz w:val="18"/>
                <w:szCs w:val="18"/>
              </w:rPr>
              <w:t>）</w:t>
            </w:r>
          </w:p>
        </w:tc>
        <w:tc>
          <w:tcPr>
            <w:tcW w:w="3015" w:type="dxa"/>
            <w:vAlign w:val="center"/>
          </w:tcPr>
          <w:p>
            <w:pPr>
              <w:jc w:val="center"/>
              <w:rPr>
                <w:rFonts w:ascii="宋体"/>
                <w:sz w:val="18"/>
                <w:szCs w:val="18"/>
              </w:rPr>
            </w:pPr>
            <w:r>
              <w:rPr>
                <w:rFonts w:hint="eastAsia" w:ascii="宋体" w:hAnsi="宋体"/>
                <w:sz w:val="18"/>
                <w:szCs w:val="18"/>
              </w:rPr>
              <w:t>不高于</w:t>
            </w:r>
            <w:r>
              <w:rPr>
                <w:rFonts w:ascii="宋体" w:hAnsi="宋体"/>
                <w:sz w:val="18"/>
                <w:szCs w:val="18"/>
              </w:rPr>
              <w:t>65</w:t>
            </w:r>
          </w:p>
        </w:tc>
        <w:tc>
          <w:tcPr>
            <w:tcW w:w="2866" w:type="dxa"/>
            <w:vAlign w:val="center"/>
          </w:tcPr>
          <w:p>
            <w:pPr>
              <w:jc w:val="center"/>
              <w:rPr>
                <w:rFonts w:ascii="宋体"/>
                <w:sz w:val="18"/>
                <w:szCs w:val="18"/>
              </w:rPr>
            </w:pPr>
            <w:r>
              <w:rPr>
                <w:rFonts w:hint="eastAsia" w:ascii="宋体" w:hAnsi="宋体"/>
                <w:sz w:val="18"/>
                <w:szCs w:val="18"/>
              </w:rPr>
              <w:t>不高于</w:t>
            </w:r>
            <w:r>
              <w:rPr>
                <w:rFonts w:ascii="宋体" w:hAnsi="宋体"/>
                <w:sz w:val="18"/>
                <w:szCs w:val="18"/>
              </w:rPr>
              <w:t>70</w:t>
            </w:r>
          </w:p>
        </w:tc>
        <w:tc>
          <w:tcPr>
            <w:tcW w:w="593" w:type="dxa"/>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13</w:t>
            </w:r>
            <w:r>
              <w:rPr>
                <w:rFonts w:ascii="宋体"/>
                <w:sz w:val="18"/>
                <w:szCs w:val="18"/>
              </w:rPr>
              <w:t>.</w:t>
            </w:r>
            <w:r>
              <w:rPr>
                <w:rFonts w:hint="eastAsia" w:ascii="宋体" w:hAnsi="宋体"/>
                <w:sz w:val="18"/>
                <w:szCs w:val="18"/>
              </w:rPr>
              <w:t>总资产周转率（次）</w:t>
            </w:r>
          </w:p>
        </w:tc>
        <w:tc>
          <w:tcPr>
            <w:tcW w:w="3015" w:type="dxa"/>
            <w:vAlign w:val="center"/>
          </w:tcPr>
          <w:p>
            <w:pPr>
              <w:jc w:val="center"/>
              <w:rPr>
                <w:rFonts w:ascii="宋体"/>
                <w:sz w:val="18"/>
                <w:szCs w:val="18"/>
              </w:rPr>
            </w:pPr>
            <w:r>
              <w:rPr>
                <w:rFonts w:hint="eastAsia" w:ascii="宋体" w:hAnsi="宋体"/>
                <w:sz w:val="18"/>
                <w:szCs w:val="18"/>
              </w:rPr>
              <w:t>≥</w:t>
            </w:r>
            <w:r>
              <w:rPr>
                <w:rFonts w:ascii="宋体" w:hAnsi="宋体"/>
                <w:sz w:val="18"/>
                <w:szCs w:val="18"/>
              </w:rPr>
              <w:t>0.6</w:t>
            </w:r>
          </w:p>
        </w:tc>
        <w:tc>
          <w:tcPr>
            <w:tcW w:w="2866" w:type="dxa"/>
            <w:vAlign w:val="center"/>
          </w:tcPr>
          <w:p>
            <w:pPr>
              <w:jc w:val="center"/>
              <w:rPr>
                <w:rFonts w:ascii="宋体"/>
                <w:sz w:val="18"/>
                <w:szCs w:val="18"/>
              </w:rPr>
            </w:pPr>
            <w:r>
              <w:rPr>
                <w:rFonts w:hint="eastAsia" w:ascii="宋体" w:hAnsi="宋体"/>
                <w:sz w:val="18"/>
                <w:szCs w:val="18"/>
              </w:rPr>
              <w:t>≥</w:t>
            </w:r>
            <w:r>
              <w:rPr>
                <w:rFonts w:ascii="宋体" w:hAnsi="宋体"/>
                <w:sz w:val="18"/>
                <w:szCs w:val="18"/>
              </w:rPr>
              <w:t>0.4</w:t>
            </w:r>
          </w:p>
        </w:tc>
        <w:tc>
          <w:tcPr>
            <w:tcW w:w="593" w:type="dxa"/>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14</w:t>
            </w:r>
            <w:r>
              <w:rPr>
                <w:rFonts w:ascii="宋体"/>
                <w:sz w:val="18"/>
                <w:szCs w:val="18"/>
              </w:rPr>
              <w:t>.</w:t>
            </w:r>
            <w:r>
              <w:rPr>
                <w:rFonts w:hint="eastAsia" w:ascii="宋体" w:hAnsi="宋体"/>
                <w:sz w:val="18"/>
                <w:szCs w:val="18"/>
              </w:rPr>
              <w:t>净资产收益率（</w:t>
            </w:r>
            <w:r>
              <w:rPr>
                <w:rFonts w:ascii="宋体" w:hAnsi="宋体"/>
                <w:sz w:val="18"/>
                <w:szCs w:val="18"/>
              </w:rPr>
              <w:t>%</w:t>
            </w:r>
            <w:r>
              <w:rPr>
                <w:rFonts w:hint="eastAsia" w:ascii="宋体" w:hAnsi="宋体"/>
                <w:sz w:val="18"/>
                <w:szCs w:val="18"/>
              </w:rPr>
              <w:t>）</w:t>
            </w:r>
          </w:p>
        </w:tc>
        <w:tc>
          <w:tcPr>
            <w:tcW w:w="3015" w:type="dxa"/>
            <w:vAlign w:val="center"/>
          </w:tcPr>
          <w:p>
            <w:pPr>
              <w:jc w:val="center"/>
              <w:rPr>
                <w:rFonts w:ascii="宋体"/>
                <w:sz w:val="18"/>
                <w:szCs w:val="18"/>
              </w:rPr>
            </w:pPr>
            <w:r>
              <w:rPr>
                <w:rFonts w:hint="eastAsia" w:ascii="宋体" w:hAnsi="宋体"/>
                <w:sz w:val="18"/>
                <w:szCs w:val="18"/>
              </w:rPr>
              <w:t>≥</w:t>
            </w:r>
            <w:r>
              <w:rPr>
                <w:rFonts w:ascii="宋体" w:hAnsi="宋体"/>
                <w:sz w:val="18"/>
                <w:szCs w:val="18"/>
              </w:rPr>
              <w:t>3.5</w:t>
            </w:r>
          </w:p>
        </w:tc>
        <w:tc>
          <w:tcPr>
            <w:tcW w:w="2866" w:type="dxa"/>
            <w:vAlign w:val="center"/>
          </w:tcPr>
          <w:p>
            <w:pPr>
              <w:jc w:val="center"/>
              <w:rPr>
                <w:rFonts w:ascii="宋体"/>
                <w:sz w:val="18"/>
                <w:szCs w:val="18"/>
              </w:rPr>
            </w:pPr>
            <w:r>
              <w:rPr>
                <w:rFonts w:hint="eastAsia" w:ascii="宋体" w:hAnsi="宋体"/>
                <w:sz w:val="18"/>
                <w:szCs w:val="18"/>
              </w:rPr>
              <w:t>≥</w:t>
            </w:r>
            <w:r>
              <w:rPr>
                <w:rFonts w:ascii="宋体" w:hAnsi="宋体"/>
                <w:sz w:val="18"/>
                <w:szCs w:val="18"/>
              </w:rPr>
              <w:t>4</w:t>
            </w:r>
          </w:p>
        </w:tc>
        <w:tc>
          <w:tcPr>
            <w:tcW w:w="593" w:type="dxa"/>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15.</w:t>
            </w:r>
            <w:r>
              <w:rPr>
                <w:rFonts w:hint="eastAsia" w:ascii="宋体" w:hAnsi="宋体"/>
                <w:sz w:val="18"/>
                <w:szCs w:val="18"/>
              </w:rPr>
              <w:t>创新发展</w:t>
            </w:r>
          </w:p>
        </w:tc>
        <w:tc>
          <w:tcPr>
            <w:tcW w:w="5881" w:type="dxa"/>
            <w:gridSpan w:val="2"/>
            <w:vAlign w:val="center"/>
          </w:tcPr>
          <w:p>
            <w:pPr>
              <w:jc w:val="center"/>
              <w:rPr>
                <w:rFonts w:ascii="宋体"/>
                <w:sz w:val="18"/>
                <w:szCs w:val="18"/>
              </w:rPr>
            </w:pPr>
            <w:r>
              <w:rPr>
                <w:rFonts w:hint="eastAsia" w:ascii="宋体" w:hAnsi="宋体"/>
                <w:sz w:val="18"/>
                <w:szCs w:val="18"/>
              </w:rPr>
              <w:t>物流服务环节中应用智能化等技术，创新服务模式</w:t>
            </w:r>
          </w:p>
        </w:tc>
        <w:tc>
          <w:tcPr>
            <w:tcW w:w="593" w:type="dxa"/>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16.</w:t>
            </w:r>
            <w:r>
              <w:rPr>
                <w:rFonts w:hint="eastAsia" w:ascii="宋体" w:hAnsi="宋体"/>
                <w:sz w:val="18"/>
                <w:szCs w:val="18"/>
              </w:rPr>
              <w:t>共享发展</w:t>
            </w:r>
          </w:p>
        </w:tc>
        <w:tc>
          <w:tcPr>
            <w:tcW w:w="3015" w:type="dxa"/>
            <w:vAlign w:val="center"/>
          </w:tcPr>
          <w:p>
            <w:pPr>
              <w:jc w:val="center"/>
              <w:rPr>
                <w:rFonts w:ascii="宋体"/>
                <w:sz w:val="18"/>
                <w:szCs w:val="18"/>
              </w:rPr>
            </w:pPr>
            <w:r>
              <w:rPr>
                <w:rFonts w:hint="eastAsia" w:ascii="宋体" w:hAnsi="宋体"/>
                <w:sz w:val="18"/>
                <w:szCs w:val="18"/>
              </w:rPr>
              <w:t>参与甩挂运输、多式联运、托盘共享等物流共享发展模式</w:t>
            </w:r>
          </w:p>
        </w:tc>
        <w:tc>
          <w:tcPr>
            <w:tcW w:w="2866" w:type="dxa"/>
            <w:vAlign w:val="center"/>
          </w:tcPr>
          <w:p>
            <w:pPr>
              <w:jc w:val="center"/>
              <w:rPr>
                <w:rFonts w:ascii="宋体"/>
                <w:sz w:val="18"/>
                <w:szCs w:val="18"/>
              </w:rPr>
            </w:pPr>
            <w:r>
              <w:rPr>
                <w:rFonts w:hint="eastAsia" w:ascii="宋体" w:hAnsi="宋体"/>
                <w:sz w:val="18"/>
                <w:szCs w:val="18"/>
              </w:rPr>
              <w:t>园区设施设备资源共享，建立共享信息平台</w:t>
            </w:r>
          </w:p>
        </w:tc>
        <w:tc>
          <w:tcPr>
            <w:tcW w:w="593" w:type="dxa"/>
            <w:vAlign w:val="center"/>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17</w:t>
            </w:r>
            <w:r>
              <w:rPr>
                <w:rFonts w:ascii="宋体"/>
                <w:sz w:val="18"/>
                <w:szCs w:val="18"/>
              </w:rPr>
              <w:t>.</w:t>
            </w:r>
            <w:r>
              <w:rPr>
                <w:rFonts w:hint="eastAsia" w:ascii="宋体" w:hAnsi="宋体"/>
                <w:sz w:val="18"/>
                <w:szCs w:val="18"/>
              </w:rPr>
              <w:t>客户满意度</w:t>
            </w:r>
          </w:p>
        </w:tc>
        <w:tc>
          <w:tcPr>
            <w:tcW w:w="5881" w:type="dxa"/>
            <w:gridSpan w:val="2"/>
            <w:vAlign w:val="center"/>
          </w:tcPr>
          <w:p>
            <w:pPr>
              <w:jc w:val="center"/>
              <w:rPr>
                <w:rFonts w:ascii="宋体"/>
                <w:sz w:val="18"/>
                <w:szCs w:val="18"/>
              </w:rPr>
            </w:pPr>
            <w:r>
              <w:rPr>
                <w:rFonts w:hint="eastAsia" w:ascii="宋体" w:hAnsi="宋体"/>
                <w:sz w:val="18"/>
                <w:szCs w:val="18"/>
              </w:rPr>
              <w:t>定期开展客户满意度调查，客户满意度≥</w:t>
            </w:r>
            <w:r>
              <w:rPr>
                <w:rFonts w:ascii="宋体" w:hAnsi="宋体"/>
                <w:sz w:val="18"/>
                <w:szCs w:val="18"/>
              </w:rPr>
              <w:t>95%</w:t>
            </w:r>
          </w:p>
        </w:tc>
        <w:tc>
          <w:tcPr>
            <w:tcW w:w="593" w:type="dxa"/>
            <w:vAlign w:val="center"/>
          </w:tcPr>
          <w:p>
            <w:pPr>
              <w:widowControl/>
              <w:jc w:val="center"/>
              <w:rPr>
                <w:rFonts w:ascii="宋体"/>
                <w:sz w:val="18"/>
                <w:szCs w:val="18"/>
              </w:rPr>
            </w:pPr>
            <w:r>
              <w:rPr>
                <w:rFonts w:ascii="宋体" w:hAnsi="宋体"/>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诚信</w:t>
            </w:r>
            <w:r>
              <w:rPr>
                <w:rFonts w:ascii="宋体" w:hAnsi="宋体"/>
                <w:sz w:val="18"/>
                <w:szCs w:val="18"/>
              </w:rPr>
              <w:t xml:space="preserve">  </w:t>
            </w:r>
            <w:r>
              <w:rPr>
                <w:rFonts w:hint="eastAsia" w:ascii="宋体" w:hAnsi="宋体"/>
                <w:sz w:val="18"/>
                <w:szCs w:val="18"/>
              </w:rPr>
              <w:t>建设</w:t>
            </w:r>
          </w:p>
          <w:p>
            <w:pPr>
              <w:jc w:val="center"/>
              <w:rPr>
                <w:rFonts w:ascii="宋体"/>
                <w:sz w:val="18"/>
                <w:szCs w:val="18"/>
              </w:rPr>
            </w:pPr>
            <w:r>
              <w:rPr>
                <w:rFonts w:hint="eastAsia" w:ascii="宋体" w:hAnsi="宋体"/>
                <w:sz w:val="18"/>
                <w:szCs w:val="18"/>
              </w:rPr>
              <w:t>（</w:t>
            </w:r>
            <w:r>
              <w:rPr>
                <w:rFonts w:ascii="宋体" w:hAnsi="宋体"/>
                <w:sz w:val="18"/>
                <w:szCs w:val="18"/>
              </w:rPr>
              <w:t>20</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18</w:t>
            </w:r>
            <w:r>
              <w:rPr>
                <w:rFonts w:ascii="宋体"/>
                <w:sz w:val="18"/>
                <w:szCs w:val="18"/>
              </w:rPr>
              <w:t>.</w:t>
            </w:r>
            <w:r>
              <w:rPr>
                <w:rFonts w:hint="eastAsia" w:ascii="宋体" w:hAnsi="宋体"/>
                <w:sz w:val="18"/>
                <w:szCs w:val="18"/>
              </w:rPr>
              <w:t>诚信文化</w:t>
            </w:r>
          </w:p>
        </w:tc>
        <w:tc>
          <w:tcPr>
            <w:tcW w:w="5881" w:type="dxa"/>
            <w:gridSpan w:val="2"/>
            <w:vAlign w:val="center"/>
          </w:tcPr>
          <w:p>
            <w:pPr>
              <w:jc w:val="center"/>
              <w:rPr>
                <w:rFonts w:ascii="宋体"/>
                <w:sz w:val="18"/>
                <w:szCs w:val="18"/>
              </w:rPr>
            </w:pPr>
            <w:r>
              <w:rPr>
                <w:rFonts w:hint="eastAsia" w:ascii="宋体" w:hAnsi="宋体"/>
                <w:sz w:val="18"/>
                <w:szCs w:val="18"/>
              </w:rPr>
              <w:t>有明确的企业诚信文化，及维护企业诚信的措施</w:t>
            </w:r>
          </w:p>
        </w:tc>
        <w:tc>
          <w:tcPr>
            <w:tcW w:w="593" w:type="dxa"/>
            <w:vAlign w:val="center"/>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19</w:t>
            </w:r>
            <w:r>
              <w:rPr>
                <w:rFonts w:ascii="宋体"/>
                <w:sz w:val="18"/>
                <w:szCs w:val="18"/>
              </w:rPr>
              <w:t>.</w:t>
            </w:r>
            <w:r>
              <w:rPr>
                <w:rFonts w:hint="eastAsia" w:ascii="宋体" w:hAnsi="宋体"/>
                <w:sz w:val="18"/>
                <w:szCs w:val="18"/>
              </w:rPr>
              <w:t>人员素质</w:t>
            </w:r>
          </w:p>
        </w:tc>
        <w:tc>
          <w:tcPr>
            <w:tcW w:w="5881" w:type="dxa"/>
            <w:gridSpan w:val="2"/>
            <w:vAlign w:val="center"/>
          </w:tcPr>
          <w:p>
            <w:pPr>
              <w:jc w:val="center"/>
              <w:rPr>
                <w:rFonts w:ascii="宋体"/>
                <w:sz w:val="18"/>
                <w:szCs w:val="18"/>
              </w:rPr>
            </w:pPr>
            <w:r>
              <w:rPr>
                <w:rFonts w:hint="eastAsia" w:ascii="宋体" w:hAnsi="宋体"/>
                <w:sz w:val="18"/>
                <w:szCs w:val="18"/>
              </w:rPr>
              <w:t>员工上岗培训率</w:t>
            </w:r>
            <w:r>
              <w:rPr>
                <w:rFonts w:ascii="宋体" w:hAnsi="宋体"/>
                <w:sz w:val="18"/>
                <w:szCs w:val="18"/>
              </w:rPr>
              <w:t>100%</w:t>
            </w:r>
            <w:r>
              <w:rPr>
                <w:rFonts w:hint="eastAsia" w:ascii="宋体" w:hAnsi="宋体"/>
                <w:sz w:val="18"/>
                <w:szCs w:val="18"/>
              </w:rPr>
              <w:t>，特种岗位持证率</w:t>
            </w:r>
            <w:r>
              <w:rPr>
                <w:rFonts w:ascii="宋体" w:hAnsi="宋体"/>
                <w:sz w:val="18"/>
                <w:szCs w:val="18"/>
              </w:rPr>
              <w:t>100%</w:t>
            </w:r>
            <w:r>
              <w:rPr>
                <w:rFonts w:hint="eastAsia" w:ascii="宋体" w:hAnsi="宋体"/>
                <w:sz w:val="18"/>
                <w:szCs w:val="18"/>
              </w:rPr>
              <w:t>，定期开展业务培训</w:t>
            </w:r>
          </w:p>
        </w:tc>
        <w:tc>
          <w:tcPr>
            <w:tcW w:w="593" w:type="dxa"/>
            <w:vAlign w:val="center"/>
          </w:tcPr>
          <w:p>
            <w:pPr>
              <w:widowControl/>
              <w:jc w:val="center"/>
              <w:rPr>
                <w:rFonts w:ascii="宋体"/>
                <w:sz w:val="18"/>
                <w:szCs w:val="18"/>
              </w:rPr>
            </w:pPr>
            <w:r>
              <w:rPr>
                <w:rFonts w:ascii="宋体" w:hAns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20</w:t>
            </w:r>
            <w:r>
              <w:rPr>
                <w:rFonts w:ascii="宋体"/>
                <w:sz w:val="18"/>
                <w:szCs w:val="18"/>
              </w:rPr>
              <w:t>.</w:t>
            </w:r>
            <w:r>
              <w:rPr>
                <w:rFonts w:hint="eastAsia" w:ascii="宋体" w:hAnsi="宋体"/>
                <w:sz w:val="18"/>
                <w:szCs w:val="18"/>
              </w:rPr>
              <w:t>诚信培训</w:t>
            </w:r>
          </w:p>
        </w:tc>
        <w:tc>
          <w:tcPr>
            <w:tcW w:w="5881" w:type="dxa"/>
            <w:gridSpan w:val="2"/>
            <w:vAlign w:val="center"/>
          </w:tcPr>
          <w:p>
            <w:pPr>
              <w:jc w:val="center"/>
              <w:rPr>
                <w:rFonts w:ascii="宋体"/>
                <w:sz w:val="18"/>
                <w:szCs w:val="18"/>
              </w:rPr>
            </w:pPr>
            <w:r>
              <w:rPr>
                <w:rFonts w:hint="eastAsia" w:ascii="宋体" w:hAnsi="宋体"/>
                <w:sz w:val="18"/>
                <w:szCs w:val="18"/>
              </w:rPr>
              <w:t>定期开展诚信培训</w:t>
            </w:r>
          </w:p>
        </w:tc>
        <w:tc>
          <w:tcPr>
            <w:tcW w:w="593" w:type="dxa"/>
            <w:vAlign w:val="center"/>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21</w:t>
            </w:r>
            <w:r>
              <w:rPr>
                <w:rFonts w:ascii="宋体"/>
                <w:sz w:val="18"/>
                <w:szCs w:val="18"/>
              </w:rPr>
              <w:t>.</w:t>
            </w:r>
            <w:r>
              <w:rPr>
                <w:rFonts w:hint="eastAsia" w:ascii="宋体" w:hAnsi="宋体"/>
                <w:sz w:val="18"/>
                <w:szCs w:val="18"/>
              </w:rPr>
              <w:t>品牌建设</w:t>
            </w:r>
          </w:p>
        </w:tc>
        <w:tc>
          <w:tcPr>
            <w:tcW w:w="5881" w:type="dxa"/>
            <w:gridSpan w:val="2"/>
            <w:vAlign w:val="center"/>
          </w:tcPr>
          <w:p>
            <w:pPr>
              <w:jc w:val="center"/>
              <w:rPr>
                <w:rFonts w:ascii="宋体"/>
                <w:sz w:val="18"/>
                <w:szCs w:val="18"/>
              </w:rPr>
            </w:pPr>
            <w:r>
              <w:rPr>
                <w:rFonts w:hint="eastAsia" w:ascii="宋体" w:hAnsi="宋体"/>
                <w:sz w:val="18"/>
                <w:szCs w:val="18"/>
              </w:rPr>
              <w:t>参加</w:t>
            </w:r>
            <w:r>
              <w:rPr>
                <w:rFonts w:ascii="宋体" w:hAnsi="宋体"/>
                <w:sz w:val="18"/>
                <w:szCs w:val="18"/>
              </w:rPr>
              <w:t>A</w:t>
            </w:r>
            <w:r>
              <w:rPr>
                <w:rFonts w:hint="eastAsia" w:ascii="宋体" w:hAnsi="宋体"/>
                <w:sz w:val="18"/>
                <w:szCs w:val="18"/>
              </w:rPr>
              <w:t>级物流企业、重合同守信用企业、知名商标、高新技术企业、物流标准化试点、物流创新、</w:t>
            </w:r>
            <w:r>
              <w:rPr>
                <w:rFonts w:ascii="宋体" w:hAnsi="宋体"/>
                <w:sz w:val="18"/>
                <w:szCs w:val="18"/>
              </w:rPr>
              <w:t>A</w:t>
            </w:r>
            <w:r>
              <w:rPr>
                <w:rFonts w:hint="eastAsia" w:ascii="宋体" w:hAnsi="宋体"/>
                <w:sz w:val="18"/>
                <w:szCs w:val="18"/>
              </w:rPr>
              <w:t>级纳税人等评定</w:t>
            </w:r>
          </w:p>
        </w:tc>
        <w:tc>
          <w:tcPr>
            <w:tcW w:w="593" w:type="dxa"/>
            <w:vAlign w:val="center"/>
          </w:tcPr>
          <w:p>
            <w:pPr>
              <w:widowControl/>
              <w:jc w:val="center"/>
              <w:rPr>
                <w:rFonts w:ascii="宋体"/>
                <w:sz w:val="18"/>
                <w:szCs w:val="18"/>
              </w:rPr>
            </w:pPr>
            <w:r>
              <w:rPr>
                <w:rFonts w:ascii="宋体" w:hAnsi="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903" w:type="dxa"/>
            <w:vMerge w:val="restart"/>
            <w:vAlign w:val="center"/>
          </w:tcPr>
          <w:p>
            <w:pPr>
              <w:jc w:val="center"/>
              <w:rPr>
                <w:rFonts w:ascii="宋体"/>
                <w:sz w:val="18"/>
                <w:szCs w:val="18"/>
              </w:rPr>
            </w:pPr>
            <w:r>
              <w:rPr>
                <w:rFonts w:hint="eastAsia" w:ascii="宋体" w:hAnsi="宋体"/>
                <w:sz w:val="18"/>
                <w:szCs w:val="18"/>
              </w:rPr>
              <w:t>社会</w:t>
            </w:r>
          </w:p>
          <w:p>
            <w:pPr>
              <w:jc w:val="center"/>
              <w:rPr>
                <w:rFonts w:ascii="宋体"/>
                <w:sz w:val="18"/>
                <w:szCs w:val="18"/>
              </w:rPr>
            </w:pPr>
            <w:r>
              <w:rPr>
                <w:rFonts w:hint="eastAsia" w:ascii="宋体" w:hAnsi="宋体"/>
                <w:sz w:val="18"/>
                <w:szCs w:val="18"/>
              </w:rPr>
              <w:t>责任</w:t>
            </w:r>
          </w:p>
          <w:p>
            <w:pPr>
              <w:jc w:val="center"/>
              <w:rPr>
                <w:rFonts w:ascii="宋体"/>
                <w:sz w:val="18"/>
                <w:szCs w:val="18"/>
              </w:rPr>
            </w:pPr>
            <w:r>
              <w:rPr>
                <w:rFonts w:hint="eastAsia" w:ascii="宋体" w:hAnsi="宋体"/>
                <w:sz w:val="18"/>
                <w:szCs w:val="18"/>
              </w:rPr>
              <w:t>（</w:t>
            </w:r>
            <w:r>
              <w:rPr>
                <w:rFonts w:ascii="宋体" w:hAnsi="宋体"/>
                <w:sz w:val="18"/>
                <w:szCs w:val="18"/>
              </w:rPr>
              <w:t>16</w:t>
            </w:r>
            <w:r>
              <w:rPr>
                <w:rFonts w:hint="eastAsia" w:ascii="宋体" w:hAnsi="宋体"/>
                <w:sz w:val="18"/>
                <w:szCs w:val="18"/>
              </w:rPr>
              <w:t>分）</w:t>
            </w:r>
          </w:p>
        </w:tc>
        <w:tc>
          <w:tcPr>
            <w:tcW w:w="2095" w:type="dxa"/>
            <w:vAlign w:val="center"/>
          </w:tcPr>
          <w:p>
            <w:pPr>
              <w:rPr>
                <w:rFonts w:ascii="宋体"/>
                <w:sz w:val="18"/>
                <w:szCs w:val="18"/>
              </w:rPr>
            </w:pPr>
            <w:r>
              <w:rPr>
                <w:rFonts w:ascii="宋体" w:hAnsi="宋体"/>
                <w:sz w:val="18"/>
                <w:szCs w:val="18"/>
              </w:rPr>
              <w:t>22.</w:t>
            </w:r>
            <w:r>
              <w:rPr>
                <w:rFonts w:hint="eastAsia" w:ascii="宋体" w:hAnsi="宋体"/>
                <w:sz w:val="18"/>
                <w:szCs w:val="18"/>
              </w:rPr>
              <w:t>维护社会公共安全</w:t>
            </w:r>
          </w:p>
        </w:tc>
        <w:tc>
          <w:tcPr>
            <w:tcW w:w="5881" w:type="dxa"/>
            <w:gridSpan w:val="2"/>
            <w:vAlign w:val="center"/>
          </w:tcPr>
          <w:p>
            <w:pPr>
              <w:jc w:val="center"/>
              <w:rPr>
                <w:rFonts w:ascii="宋体"/>
                <w:sz w:val="18"/>
                <w:szCs w:val="18"/>
              </w:rPr>
            </w:pPr>
            <w:r>
              <w:rPr>
                <w:rFonts w:hint="eastAsia" w:ascii="宋体" w:hAnsi="宋体"/>
                <w:sz w:val="18"/>
                <w:szCs w:val="18"/>
              </w:rPr>
              <w:t>开展物流寄递实名制，对客户身份进行查验，对货物进行安全检查，危险品的存放、运输符合相关规定和标准</w:t>
            </w:r>
          </w:p>
        </w:tc>
        <w:tc>
          <w:tcPr>
            <w:tcW w:w="593" w:type="dxa"/>
            <w:vAlign w:val="center"/>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23.</w:t>
            </w:r>
            <w:r>
              <w:rPr>
                <w:rFonts w:hint="eastAsia" w:ascii="宋体" w:hAnsi="宋体"/>
                <w:sz w:val="18"/>
                <w:szCs w:val="18"/>
              </w:rPr>
              <w:t>绿色发展</w:t>
            </w:r>
          </w:p>
        </w:tc>
        <w:tc>
          <w:tcPr>
            <w:tcW w:w="3015" w:type="dxa"/>
            <w:vAlign w:val="center"/>
          </w:tcPr>
          <w:p>
            <w:pPr>
              <w:jc w:val="center"/>
              <w:rPr>
                <w:rFonts w:ascii="宋体"/>
                <w:sz w:val="18"/>
                <w:szCs w:val="18"/>
              </w:rPr>
            </w:pPr>
            <w:r>
              <w:rPr>
                <w:rFonts w:hint="eastAsia" w:ascii="宋体" w:hAnsi="宋体"/>
                <w:sz w:val="18"/>
                <w:szCs w:val="18"/>
              </w:rPr>
              <w:t>运用节能低碳安全能源</w:t>
            </w:r>
            <w:r>
              <w:rPr>
                <w:rFonts w:ascii="宋体" w:hAnsi="宋体"/>
                <w:sz w:val="18"/>
                <w:szCs w:val="18"/>
              </w:rPr>
              <w:t xml:space="preserve"> </w:t>
            </w:r>
          </w:p>
        </w:tc>
        <w:tc>
          <w:tcPr>
            <w:tcW w:w="2866" w:type="dxa"/>
            <w:vAlign w:val="center"/>
          </w:tcPr>
          <w:p>
            <w:pPr>
              <w:jc w:val="center"/>
              <w:rPr>
                <w:rFonts w:ascii="宋体"/>
                <w:sz w:val="18"/>
                <w:szCs w:val="18"/>
              </w:rPr>
            </w:pPr>
            <w:r>
              <w:rPr>
                <w:rFonts w:hint="eastAsia" w:ascii="宋体" w:hAnsi="宋体"/>
                <w:sz w:val="18"/>
                <w:szCs w:val="18"/>
              </w:rPr>
              <w:t>仓储设施采用环保节能材料，注重园区周边环保</w:t>
            </w:r>
            <w:r>
              <w:rPr>
                <w:rFonts w:ascii="宋体" w:hAnsi="宋体"/>
                <w:sz w:val="18"/>
                <w:szCs w:val="18"/>
              </w:rPr>
              <w:t xml:space="preserve"> </w:t>
            </w:r>
          </w:p>
        </w:tc>
        <w:tc>
          <w:tcPr>
            <w:tcW w:w="593" w:type="dxa"/>
            <w:vAlign w:val="center"/>
          </w:tcPr>
          <w:p>
            <w:pPr>
              <w:widowControl/>
              <w:jc w:val="center"/>
              <w:rPr>
                <w:rFonts w:ascii="宋体"/>
                <w:sz w:val="18"/>
                <w:szCs w:val="18"/>
              </w:rPr>
            </w:pPr>
            <w:r>
              <w:rPr>
                <w:rFonts w:ascii="宋体" w:hAnsi="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24.</w:t>
            </w:r>
            <w:r>
              <w:rPr>
                <w:rFonts w:hint="eastAsia" w:ascii="宋体" w:hAnsi="宋体"/>
                <w:sz w:val="18"/>
                <w:szCs w:val="18"/>
              </w:rPr>
              <w:t>参与公益活动</w:t>
            </w:r>
          </w:p>
        </w:tc>
        <w:tc>
          <w:tcPr>
            <w:tcW w:w="5881" w:type="dxa"/>
            <w:gridSpan w:val="2"/>
            <w:vAlign w:val="center"/>
          </w:tcPr>
          <w:p>
            <w:pPr>
              <w:jc w:val="center"/>
              <w:rPr>
                <w:rFonts w:ascii="宋体"/>
                <w:sz w:val="18"/>
                <w:szCs w:val="18"/>
              </w:rPr>
            </w:pPr>
            <w:r>
              <w:rPr>
                <w:rFonts w:hint="eastAsia" w:ascii="宋体" w:hAnsi="宋体"/>
                <w:sz w:val="18"/>
                <w:szCs w:val="18"/>
              </w:rPr>
              <w:t>积极参与社会公益活动（如捐赠救助、社区服务、禁毒、禁赌）</w:t>
            </w:r>
          </w:p>
        </w:tc>
        <w:tc>
          <w:tcPr>
            <w:tcW w:w="593" w:type="dxa"/>
            <w:vAlign w:val="center"/>
          </w:tcPr>
          <w:p>
            <w:pPr>
              <w:widowControl/>
              <w:jc w:val="center"/>
              <w:rPr>
                <w:rFonts w:ascii="宋体"/>
                <w:sz w:val="18"/>
                <w:szCs w:val="18"/>
              </w:rPr>
            </w:pPr>
            <w:r>
              <w:rPr>
                <w:rFonts w:ascii="宋体" w:hAnsi="宋体"/>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4" w:hRule="atLeast"/>
          <w:jc w:val="center"/>
        </w:trPr>
        <w:tc>
          <w:tcPr>
            <w:tcW w:w="903" w:type="dxa"/>
            <w:vMerge w:val="continue"/>
            <w:vAlign w:val="center"/>
          </w:tcPr>
          <w:p>
            <w:pPr>
              <w:jc w:val="center"/>
              <w:rPr>
                <w:rFonts w:ascii="宋体"/>
                <w:sz w:val="18"/>
                <w:szCs w:val="18"/>
              </w:rPr>
            </w:pPr>
          </w:p>
        </w:tc>
        <w:tc>
          <w:tcPr>
            <w:tcW w:w="2095" w:type="dxa"/>
            <w:vAlign w:val="center"/>
          </w:tcPr>
          <w:p>
            <w:pPr>
              <w:rPr>
                <w:rFonts w:ascii="宋体"/>
                <w:sz w:val="18"/>
                <w:szCs w:val="18"/>
              </w:rPr>
            </w:pPr>
            <w:r>
              <w:rPr>
                <w:rFonts w:ascii="宋体" w:hAnsi="宋体"/>
                <w:sz w:val="18"/>
                <w:szCs w:val="18"/>
              </w:rPr>
              <w:t>25</w:t>
            </w:r>
            <w:r>
              <w:rPr>
                <w:rFonts w:ascii="宋体"/>
                <w:sz w:val="18"/>
                <w:szCs w:val="18"/>
              </w:rPr>
              <w:t>.</w:t>
            </w:r>
            <w:r>
              <w:rPr>
                <w:rFonts w:hint="eastAsia" w:ascii="宋体" w:hAnsi="宋体"/>
                <w:sz w:val="18"/>
                <w:szCs w:val="18"/>
              </w:rPr>
              <w:t>参与行业组织活动</w:t>
            </w:r>
          </w:p>
        </w:tc>
        <w:tc>
          <w:tcPr>
            <w:tcW w:w="5881" w:type="dxa"/>
            <w:gridSpan w:val="2"/>
            <w:vAlign w:val="center"/>
          </w:tcPr>
          <w:p>
            <w:pPr>
              <w:jc w:val="center"/>
              <w:rPr>
                <w:rFonts w:ascii="宋体"/>
                <w:sz w:val="18"/>
                <w:szCs w:val="18"/>
              </w:rPr>
            </w:pPr>
            <w:r>
              <w:rPr>
                <w:rFonts w:hint="eastAsia" w:ascii="宋体" w:hAnsi="宋体"/>
                <w:sz w:val="18"/>
                <w:szCs w:val="18"/>
              </w:rPr>
              <w:t>加入相关行业组织，积极参与行业组织举办的各类活动</w:t>
            </w:r>
          </w:p>
        </w:tc>
        <w:tc>
          <w:tcPr>
            <w:tcW w:w="593" w:type="dxa"/>
            <w:vAlign w:val="center"/>
          </w:tcPr>
          <w:p>
            <w:pPr>
              <w:widowControl/>
              <w:jc w:val="center"/>
              <w:rPr>
                <w:rFonts w:ascii="宋体"/>
                <w:sz w:val="18"/>
                <w:szCs w:val="18"/>
              </w:rPr>
            </w:pPr>
            <w:r>
              <w:rPr>
                <w:rFonts w:ascii="宋体" w:hAnsi="宋体"/>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9472" w:type="dxa"/>
            <w:gridSpan w:val="5"/>
          </w:tcPr>
          <w:p>
            <w:pPr>
              <w:rPr>
                <w:rFonts w:ascii="宋体"/>
                <w:sz w:val="18"/>
                <w:szCs w:val="18"/>
              </w:rPr>
            </w:pPr>
            <w:r>
              <w:rPr>
                <w:rFonts w:hint="eastAsia" w:ascii="黑体" w:hAnsi="宋体" w:eastAsia="黑体"/>
                <w:sz w:val="18"/>
                <w:szCs w:val="18"/>
              </w:rPr>
              <w:t>注</w:t>
            </w:r>
            <w:r>
              <w:rPr>
                <w:rFonts w:ascii="黑体" w:hAnsi="宋体" w:eastAsia="黑体"/>
                <w:sz w:val="18"/>
                <w:szCs w:val="18"/>
              </w:rPr>
              <w:t>1</w:t>
            </w:r>
            <w:r>
              <w:rPr>
                <w:rFonts w:hint="eastAsia" w:ascii="黑体" w:hAnsi="宋体" w:eastAsia="黑体"/>
                <w:sz w:val="18"/>
                <w:szCs w:val="18"/>
              </w:rPr>
              <w:t>：</w:t>
            </w:r>
            <w:r>
              <w:rPr>
                <w:rFonts w:hint="eastAsia" w:ascii="宋体" w:hAnsi="宋体"/>
                <w:sz w:val="18"/>
                <w:szCs w:val="18"/>
              </w:rPr>
              <w:t>无车承运企业的运输车辆数量可用年业务量总额进行折算</w:t>
            </w:r>
          </w:p>
          <w:p>
            <w:pPr>
              <w:rPr>
                <w:rFonts w:ascii="宋体"/>
                <w:sz w:val="18"/>
                <w:szCs w:val="18"/>
              </w:rPr>
            </w:pPr>
            <w:r>
              <w:rPr>
                <w:rFonts w:hint="eastAsia" w:ascii="黑体" w:hAnsi="宋体" w:eastAsia="黑体"/>
                <w:sz w:val="18"/>
                <w:szCs w:val="18"/>
              </w:rPr>
              <w:t>注</w:t>
            </w:r>
            <w:r>
              <w:rPr>
                <w:rFonts w:ascii="黑体" w:hAnsi="宋体" w:eastAsia="黑体"/>
                <w:sz w:val="18"/>
                <w:szCs w:val="18"/>
              </w:rPr>
              <w:t>2</w:t>
            </w:r>
            <w:r>
              <w:rPr>
                <w:rFonts w:hint="eastAsia" w:ascii="黑体" w:hAnsi="宋体" w:eastAsia="黑体"/>
                <w:sz w:val="18"/>
                <w:szCs w:val="18"/>
              </w:rPr>
              <w:t>：</w:t>
            </w:r>
            <w:r>
              <w:rPr>
                <w:rFonts w:hint="eastAsia" w:ascii="宋体" w:hAnsi="宋体"/>
                <w:sz w:val="18"/>
                <w:szCs w:val="18"/>
              </w:rPr>
              <w:t>资产负债率</w:t>
            </w:r>
            <w:r>
              <w:rPr>
                <w:rFonts w:ascii="宋体" w:hAnsi="宋体"/>
                <w:sz w:val="18"/>
                <w:szCs w:val="18"/>
              </w:rPr>
              <w:t>=</w:t>
            </w:r>
            <w:r>
              <w:rPr>
                <w:rFonts w:hint="eastAsia" w:ascii="宋体" w:hAnsi="宋体"/>
                <w:sz w:val="18"/>
                <w:szCs w:val="18"/>
              </w:rPr>
              <w:t>年平均负债总额</w:t>
            </w:r>
            <w:r>
              <w:rPr>
                <w:rFonts w:ascii="宋体" w:hAnsi="宋体"/>
                <w:sz w:val="18"/>
                <w:szCs w:val="18"/>
              </w:rPr>
              <w:t>/</w:t>
            </w:r>
            <w:r>
              <w:rPr>
                <w:rFonts w:hint="eastAsia" w:ascii="宋体" w:hAnsi="宋体"/>
                <w:sz w:val="18"/>
                <w:szCs w:val="18"/>
              </w:rPr>
              <w:t>年平均资产总额</w:t>
            </w:r>
          </w:p>
          <w:p>
            <w:pPr>
              <w:rPr>
                <w:rFonts w:ascii="宋体"/>
                <w:sz w:val="18"/>
                <w:szCs w:val="18"/>
              </w:rPr>
            </w:pPr>
            <w:r>
              <w:rPr>
                <w:rFonts w:hint="eastAsia" w:ascii="黑体" w:hAnsi="宋体" w:eastAsia="黑体"/>
                <w:sz w:val="18"/>
                <w:szCs w:val="18"/>
              </w:rPr>
              <w:t>注</w:t>
            </w:r>
            <w:r>
              <w:rPr>
                <w:rFonts w:ascii="黑体" w:hAnsi="宋体" w:eastAsia="黑体"/>
                <w:sz w:val="18"/>
                <w:szCs w:val="18"/>
              </w:rPr>
              <w:t>3</w:t>
            </w:r>
            <w:r>
              <w:rPr>
                <w:rFonts w:hint="eastAsia" w:ascii="黑体" w:hAnsi="宋体" w:eastAsia="黑体"/>
                <w:sz w:val="18"/>
                <w:szCs w:val="18"/>
              </w:rPr>
              <w:t>：</w:t>
            </w:r>
            <w:r>
              <w:rPr>
                <w:rFonts w:hint="eastAsia" w:ascii="宋体" w:hAnsi="宋体"/>
                <w:sz w:val="18"/>
                <w:szCs w:val="18"/>
              </w:rPr>
              <w:t>总资产周转率（次）</w:t>
            </w:r>
            <w:r>
              <w:rPr>
                <w:rFonts w:ascii="宋体" w:hAnsi="宋体"/>
                <w:sz w:val="18"/>
                <w:szCs w:val="18"/>
              </w:rPr>
              <w:t>=</w:t>
            </w:r>
            <w:r>
              <w:rPr>
                <w:rFonts w:hint="eastAsia" w:ascii="宋体" w:hAnsi="宋体"/>
                <w:sz w:val="18"/>
                <w:szCs w:val="18"/>
              </w:rPr>
              <w:t>营业总收入</w:t>
            </w:r>
            <w:r>
              <w:rPr>
                <w:rFonts w:ascii="宋体" w:hAnsi="宋体"/>
                <w:sz w:val="18"/>
                <w:szCs w:val="18"/>
              </w:rPr>
              <w:t>/</w:t>
            </w:r>
            <w:r>
              <w:rPr>
                <w:rFonts w:hint="eastAsia" w:ascii="宋体" w:hAnsi="宋体"/>
                <w:sz w:val="18"/>
                <w:szCs w:val="18"/>
              </w:rPr>
              <w:t>年平均资产总额</w:t>
            </w:r>
          </w:p>
          <w:p>
            <w:pPr>
              <w:rPr>
                <w:rFonts w:ascii="宋体"/>
                <w:sz w:val="18"/>
                <w:szCs w:val="18"/>
              </w:rPr>
            </w:pPr>
            <w:r>
              <w:rPr>
                <w:rFonts w:hint="eastAsia" w:ascii="黑体" w:hAnsi="宋体" w:eastAsia="黑体"/>
                <w:sz w:val="18"/>
                <w:szCs w:val="18"/>
              </w:rPr>
              <w:t>注</w:t>
            </w:r>
            <w:r>
              <w:rPr>
                <w:rFonts w:ascii="黑体" w:hAnsi="宋体" w:eastAsia="黑体"/>
                <w:sz w:val="18"/>
                <w:szCs w:val="18"/>
              </w:rPr>
              <w:t>4</w:t>
            </w:r>
            <w:r>
              <w:rPr>
                <w:rFonts w:hint="eastAsia" w:ascii="黑体" w:hAnsi="宋体" w:eastAsia="黑体"/>
                <w:sz w:val="18"/>
                <w:szCs w:val="18"/>
              </w:rPr>
              <w:t>：</w:t>
            </w:r>
            <w:r>
              <w:rPr>
                <w:rFonts w:hint="eastAsia" w:ascii="宋体" w:hAnsi="宋体"/>
                <w:sz w:val="18"/>
                <w:szCs w:val="18"/>
              </w:rPr>
              <w:t>净资产收益率</w:t>
            </w:r>
            <w:r>
              <w:rPr>
                <w:rFonts w:ascii="宋体" w:hAnsi="宋体"/>
                <w:sz w:val="18"/>
                <w:szCs w:val="18"/>
              </w:rPr>
              <w:t>=</w:t>
            </w:r>
            <w:r>
              <w:rPr>
                <w:rFonts w:hint="eastAsia" w:ascii="宋体" w:hAnsi="宋体"/>
                <w:sz w:val="18"/>
                <w:szCs w:val="18"/>
              </w:rPr>
              <w:t>净利润</w:t>
            </w:r>
            <w:r>
              <w:rPr>
                <w:rFonts w:ascii="宋体" w:hAnsi="宋体"/>
                <w:sz w:val="18"/>
                <w:szCs w:val="18"/>
              </w:rPr>
              <w:t>/</w:t>
            </w:r>
            <w:r>
              <w:rPr>
                <w:rFonts w:hint="eastAsia" w:ascii="宋体" w:hAnsi="宋体"/>
                <w:sz w:val="18"/>
                <w:szCs w:val="18"/>
              </w:rPr>
              <w:t>年平均所有者权益</w:t>
            </w:r>
          </w:p>
        </w:tc>
      </w:tr>
    </w:tbl>
    <w:p>
      <w:pPr>
        <w:pStyle w:val="13"/>
        <w:numPr>
          <w:ilvl w:val="0"/>
          <w:numId w:val="0"/>
        </w:numPr>
        <w:spacing w:before="156" w:after="156"/>
      </w:pPr>
    </w:p>
    <w:p>
      <w:pPr>
        <w:pStyle w:val="13"/>
        <w:numPr>
          <w:ilvl w:val="0"/>
          <w:numId w:val="0"/>
        </w:numPr>
        <w:spacing w:before="156" w:after="156"/>
      </w:pPr>
      <w:r>
        <w:t xml:space="preserve">5.4  </w:t>
      </w:r>
      <w:r>
        <w:rPr>
          <w:rFonts w:hint="eastAsia"/>
        </w:rPr>
        <w:t>后续管理</w:t>
      </w:r>
    </w:p>
    <w:p>
      <w:pPr>
        <w:pStyle w:val="11"/>
        <w:ind w:firstLine="0" w:firstLineChars="0"/>
        <w:rPr>
          <w:rFonts w:hAnsi="宋体" w:eastAsia="宋体"/>
        </w:rPr>
      </w:pPr>
      <w:r>
        <w:rPr>
          <w:rFonts w:eastAsia="宋体"/>
        </w:rPr>
        <w:t>5</w:t>
      </w:r>
      <w:r>
        <w:t>.</w:t>
      </w:r>
      <w:r>
        <w:rPr>
          <w:rFonts w:eastAsia="宋体"/>
        </w:rPr>
        <w:t>4</w:t>
      </w:r>
      <w:r>
        <w:t>.</w:t>
      </w:r>
      <w:r>
        <w:rPr>
          <w:rFonts w:hAnsi="宋体" w:eastAsia="宋体"/>
        </w:rPr>
        <w:t xml:space="preserve">1 </w:t>
      </w:r>
      <w:r>
        <w:rPr>
          <w:rFonts w:hint="eastAsia" w:hAnsi="宋体" w:eastAsia="宋体"/>
        </w:rPr>
        <w:t>评定为广东省诚信物流企业或广东省诚信物流园区的企业，向社会公告并报送政府相关部门，列入物流诚信平台。</w:t>
      </w:r>
    </w:p>
    <w:p>
      <w:pPr>
        <w:pStyle w:val="11"/>
        <w:ind w:firstLine="0" w:firstLineChars="0"/>
        <w:rPr>
          <w:rFonts w:hAnsi="宋体" w:eastAsia="宋体"/>
        </w:rPr>
      </w:pPr>
      <w:r>
        <w:rPr>
          <w:rFonts w:hAnsi="宋体" w:eastAsia="宋体"/>
        </w:rPr>
        <w:t xml:space="preserve">5.4.2 </w:t>
      </w:r>
      <w:r>
        <w:rPr>
          <w:rFonts w:hint="eastAsia" w:hAnsi="宋体" w:eastAsia="宋体"/>
        </w:rPr>
        <w:t>物</w:t>
      </w:r>
      <w:r>
        <w:rPr>
          <w:rFonts w:hAnsi="宋体"/>
        </w:rPr>
        <w:t>流行业诚信服务评估</w:t>
      </w:r>
      <w:r>
        <w:rPr>
          <w:rFonts w:hint="eastAsia" w:hAnsi="宋体" w:eastAsia="宋体"/>
        </w:rPr>
        <w:t>实行动态管理，评定为广东省诚信物流企业或广东省诚信物流园区，有效期二年，到期进行复核。</w:t>
      </w:r>
    </w:p>
    <w:p>
      <w:pPr>
        <w:pStyle w:val="11"/>
        <w:ind w:firstLine="0" w:firstLineChars="0"/>
        <w:rPr>
          <w:rFonts w:hAnsi="宋体" w:eastAsia="宋体"/>
        </w:rPr>
      </w:pPr>
      <w:r>
        <w:rPr>
          <w:rFonts w:hAnsi="宋体" w:eastAsia="宋体"/>
        </w:rPr>
        <w:t xml:space="preserve">5.4.3 </w:t>
      </w:r>
      <w:r>
        <w:rPr>
          <w:rFonts w:hint="eastAsia" w:hAnsi="宋体" w:eastAsia="宋体"/>
        </w:rPr>
        <w:t>建立社会投诉监督机制，对评定为广东省诚信物流企业或广东省诚信物流园区的企业，凡发生重大事故、被行政处罚、严重失信行为、及其他造成社会恶劣影响的，将取消其称号并向社会公告。</w:t>
      </w: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31680"/>
        <w:rPr>
          <w:rFonts w:hAnsi="宋体" w:eastAsia="宋体"/>
        </w:rPr>
      </w:pPr>
    </w:p>
    <w:p>
      <w:pPr>
        <w:pStyle w:val="11"/>
        <w:ind w:firstLine="0" w:firstLineChars="0"/>
        <w:rPr>
          <w:rFonts w:hAnsi="宋体" w:eastAsia="宋体"/>
        </w:rPr>
      </w:pPr>
    </w:p>
    <w:bookmarkEnd w:id="104"/>
    <w:p>
      <w:pPr>
        <w:pStyle w:val="22"/>
        <w:rPr>
          <w:b/>
          <w:bCs/>
        </w:rPr>
      </w:pPr>
      <w:bookmarkStart w:id="110" w:name="_Toc385787098"/>
      <w:bookmarkStart w:id="111" w:name="BKCKWX"/>
      <w:bookmarkStart w:id="112" w:name="_Toc385787433"/>
      <w:bookmarkStart w:id="113" w:name="_Toc385787454"/>
      <w:bookmarkStart w:id="114" w:name="_Toc385787468"/>
      <w:bookmarkStart w:id="115" w:name="_Toc385787757"/>
      <w:bookmarkStart w:id="116" w:name="_Toc385787785"/>
      <w:bookmarkStart w:id="117" w:name="_Toc385788408"/>
      <w:r>
        <w:rPr>
          <w:rFonts w:hint="eastAsia"/>
          <w:b/>
          <w:bCs/>
        </w:rPr>
        <w:t>参</w:t>
      </w:r>
      <w:r>
        <w:rPr>
          <w:rFonts w:ascii="Cambria Math" w:hAnsi="Cambria Math" w:cs="Cambria Math"/>
          <w:b/>
          <w:bCs/>
        </w:rPr>
        <w:t> </w:t>
      </w:r>
      <w:r>
        <w:rPr>
          <w:rFonts w:hint="eastAsia"/>
          <w:b/>
          <w:bCs/>
        </w:rPr>
        <w:t>考</w:t>
      </w:r>
      <w:r>
        <w:rPr>
          <w:rFonts w:ascii="Cambria Math" w:hAnsi="Cambria Math" w:cs="Cambria Math"/>
          <w:b/>
          <w:bCs/>
        </w:rPr>
        <w:t> </w:t>
      </w:r>
      <w:r>
        <w:rPr>
          <w:rFonts w:hint="eastAsia"/>
          <w:b/>
          <w:bCs/>
        </w:rPr>
        <w:t>文</w:t>
      </w:r>
      <w:r>
        <w:rPr>
          <w:rFonts w:ascii="Cambria Math" w:hAnsi="Cambria Math" w:cs="Cambria Math"/>
          <w:b/>
          <w:bCs/>
        </w:rPr>
        <w:t> </w:t>
      </w:r>
      <w:r>
        <w:rPr>
          <w:rFonts w:hint="eastAsia"/>
          <w:b/>
          <w:bCs/>
        </w:rPr>
        <w:t>献</w:t>
      </w:r>
      <w:bookmarkEnd w:id="110"/>
      <w:bookmarkEnd w:id="111"/>
      <w:bookmarkEnd w:id="112"/>
      <w:bookmarkEnd w:id="113"/>
      <w:bookmarkEnd w:id="114"/>
      <w:bookmarkEnd w:id="115"/>
      <w:bookmarkEnd w:id="116"/>
      <w:bookmarkEnd w:id="117"/>
    </w:p>
    <w:p>
      <w:pPr>
        <w:pStyle w:val="11"/>
        <w:ind w:firstLine="31680"/>
        <w:rPr>
          <w:rFonts w:eastAsia="宋体"/>
        </w:rPr>
      </w:pPr>
      <w:r>
        <w:rPr>
          <w:rFonts w:hAnsi="宋体"/>
        </w:rPr>
        <w:t xml:space="preserve">[1] </w:t>
      </w:r>
      <w:r>
        <w:t>GB/T 19680-2013</w:t>
      </w:r>
      <w:r>
        <w:rPr>
          <w:rFonts w:hAnsi="宋体"/>
        </w:rPr>
        <w:t xml:space="preserve">          </w:t>
      </w:r>
      <w:r>
        <w:t>物流企业分类与评估指标</w:t>
      </w:r>
    </w:p>
    <w:p>
      <w:pPr>
        <w:pStyle w:val="11"/>
        <w:ind w:firstLine="31680"/>
        <w:rPr>
          <w:rFonts w:eastAsia="宋体"/>
        </w:rPr>
      </w:pPr>
      <w:r>
        <w:rPr>
          <w:rFonts w:hAnsi="宋体"/>
        </w:rPr>
        <w:t>[2]</w:t>
      </w:r>
      <w:r>
        <w:rPr>
          <w:rFonts w:hAnsi="宋体" w:eastAsia="宋体"/>
        </w:rPr>
        <w:t xml:space="preserve"> </w:t>
      </w:r>
      <w:r>
        <w:rPr>
          <w:rFonts w:eastAsia="宋体"/>
        </w:rPr>
        <w:t xml:space="preserve">GB/T 30334-2013          </w:t>
      </w:r>
      <w:r>
        <w:rPr>
          <w:rFonts w:hint="eastAsia" w:eastAsia="宋体"/>
        </w:rPr>
        <w:t>物流园区服务规范及评估指标</w:t>
      </w:r>
    </w:p>
    <w:p>
      <w:pPr>
        <w:pStyle w:val="11"/>
        <w:ind w:firstLine="31680"/>
        <w:rPr>
          <w:rFonts w:hAnsi="宋体" w:eastAsia="宋体"/>
        </w:rPr>
      </w:pPr>
      <w:r>
        <w:rPr>
          <w:rFonts w:hAnsi="宋体"/>
        </w:rPr>
        <w:t>[3]</w:t>
      </w:r>
      <w:r>
        <w:rPr>
          <w:rFonts w:hAnsi="宋体" w:eastAsia="宋体"/>
        </w:rPr>
        <w:t xml:space="preserve"> </w:t>
      </w:r>
      <w:r>
        <w:rPr>
          <w:rFonts w:hAnsi="宋体"/>
        </w:rPr>
        <w:t>GB/T 31086-2014</w:t>
      </w:r>
      <w:r>
        <w:rPr>
          <w:rFonts w:hAnsi="宋体" w:eastAsia="宋体"/>
        </w:rPr>
        <w:t xml:space="preserve">          </w:t>
      </w:r>
      <w:r>
        <w:rPr>
          <w:rFonts w:hint="eastAsia" w:hAnsi="宋体" w:eastAsia="宋体"/>
        </w:rPr>
        <w:t>物流企业冷链服务要求与能力评估指标</w:t>
      </w:r>
    </w:p>
    <w:p>
      <w:pPr>
        <w:pStyle w:val="11"/>
        <w:ind w:firstLine="31680"/>
        <w:rPr>
          <w:rFonts w:hAnsi="宋体" w:eastAsia="宋体"/>
        </w:rPr>
      </w:pPr>
      <w:r>
        <w:rPr>
          <w:rFonts w:hAnsi="宋体"/>
        </w:rPr>
        <w:t>[4]</w:t>
      </w:r>
      <w:r>
        <w:rPr>
          <w:rFonts w:hAnsi="宋体" w:eastAsia="宋体"/>
        </w:rPr>
        <w:t xml:space="preserve"> </w:t>
      </w:r>
      <w:r>
        <w:rPr>
          <w:rFonts w:hAnsi="宋体"/>
        </w:rPr>
        <w:t>GB/T 31950-2015          企业诚信管理体系</w:t>
      </w:r>
    </w:p>
    <w:p>
      <w:pPr>
        <w:pStyle w:val="11"/>
        <w:ind w:firstLine="31680"/>
        <w:rPr>
          <w:rFonts w:hAnsi="宋体" w:eastAsia="宋体"/>
        </w:rPr>
      </w:pPr>
      <w:r>
        <w:rPr>
          <w:rFonts w:hAnsi="宋体"/>
        </w:rPr>
        <w:t>[5] GB/T 23794-2015</w:t>
      </w:r>
      <w:r>
        <w:rPr>
          <w:rFonts w:hAnsi="宋体" w:eastAsia="宋体"/>
        </w:rPr>
        <w:t xml:space="preserve">          </w:t>
      </w:r>
      <w:r>
        <w:rPr>
          <w:rFonts w:hint="eastAsia" w:hAnsi="宋体" w:eastAsia="宋体"/>
        </w:rPr>
        <w:t>企业信用评价指标</w:t>
      </w:r>
    </w:p>
    <w:p>
      <w:pPr>
        <w:pStyle w:val="11"/>
        <w:ind w:firstLine="31680"/>
        <w:rPr>
          <w:rFonts w:hAnsi="宋体" w:eastAsia="宋体"/>
        </w:rPr>
      </w:pPr>
      <w:r>
        <w:rPr>
          <w:rFonts w:hAnsi="宋体"/>
        </w:rPr>
        <w:t>[</w:t>
      </w:r>
      <w:r>
        <w:rPr>
          <w:rFonts w:hAnsi="宋体" w:eastAsia="宋体"/>
        </w:rPr>
        <w:t>6</w:t>
      </w:r>
      <w:r>
        <w:rPr>
          <w:rFonts w:hAnsi="宋体"/>
        </w:rPr>
        <w:t>]</w:t>
      </w:r>
      <w:r>
        <w:rPr>
          <w:rFonts w:hAnsi="宋体" w:eastAsia="宋体"/>
        </w:rPr>
        <w:t xml:space="preserve"> GB/T 23793-2017          </w:t>
      </w:r>
      <w:r>
        <w:rPr>
          <w:rFonts w:hint="eastAsia" w:hAnsi="宋体" w:eastAsia="宋体"/>
        </w:rPr>
        <w:t>合格供应商信用评价规范</w:t>
      </w:r>
    </w:p>
    <w:p>
      <w:pPr>
        <w:pStyle w:val="11"/>
        <w:ind w:firstLine="31680"/>
        <w:rPr>
          <w:rFonts w:hAnsi="宋体" w:eastAsia="宋体"/>
        </w:rPr>
      </w:pPr>
      <w:r>
        <w:rPr>
          <w:rFonts w:hAnsi="宋体"/>
        </w:rPr>
        <w:t>[</w:t>
      </w:r>
      <w:r>
        <w:rPr>
          <w:rFonts w:hAnsi="宋体" w:eastAsia="宋体"/>
        </w:rPr>
        <w:t>7</w:t>
      </w:r>
      <w:r>
        <w:rPr>
          <w:rFonts w:hAnsi="宋体"/>
        </w:rPr>
        <w:t>] 国务院国资委统计评价局</w:t>
      </w:r>
      <w:r>
        <w:rPr>
          <w:rFonts w:hAnsi="宋体" w:eastAsia="宋体"/>
        </w:rPr>
        <w:t xml:space="preserve">   </w:t>
      </w:r>
      <w:r>
        <w:rPr>
          <w:rFonts w:hAnsi="宋体"/>
        </w:rPr>
        <w:t>2016年企业绩效评价标准值</w:t>
      </w:r>
    </w:p>
    <w:p>
      <w:pPr>
        <w:pStyle w:val="11"/>
        <w:ind w:firstLine="31680"/>
        <w:rPr>
          <w:rFonts w:hAnsi="宋体" w:eastAsia="宋体"/>
        </w:rPr>
      </w:pPr>
      <w:bookmarkStart w:id="118" w:name="SYGSSQ"/>
      <w:bookmarkEnd w:id="118"/>
    </w:p>
    <w:p>
      <w:pPr>
        <w:pStyle w:val="27"/>
        <w:framePr w:hSpace="181" w:vSpace="181" w:wrap="around" w:vAnchor="text" w:hAnchor="margin" w:xAlign="center" w:y="285"/>
      </w:pPr>
      <w:r>
        <w:t>_________________________________</w:t>
      </w:r>
    </w:p>
    <w:p/>
    <w:sectPr>
      <w:headerReference r:id="rId5" w:type="default"/>
      <w:footerReference r:id="rId6" w:type="default"/>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t>T/GDLIA X—2017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t>T/GDLIA X—2017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suff w:val="nothing"/>
      <w:lvlText w:val="%1.%2　"/>
      <w:lvlJc w:val="left"/>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46E03402"/>
    <w:multiLevelType w:val="multilevel"/>
    <w:tmpl w:val="46E03402"/>
    <w:lvl w:ilvl="0" w:tentative="0">
      <w:start w:val="1"/>
      <w:numFmt w:val="decimal"/>
      <w:pStyle w:val="37"/>
      <w:lvlText w:val="%1."/>
      <w:lvlJc w:val="left"/>
      <w:pPr>
        <w:tabs>
          <w:tab w:val="left" w:pos="720"/>
        </w:tabs>
        <w:ind w:left="720" w:hanging="720"/>
      </w:pPr>
      <w:rPr>
        <w:rFonts w:cs="Times New Roman"/>
      </w:rPr>
    </w:lvl>
    <w:lvl w:ilvl="1" w:tentative="0">
      <w:start w:val="1"/>
      <w:numFmt w:val="decimal"/>
      <w:lvlText w:val="%2."/>
      <w:lvlJc w:val="left"/>
      <w:pPr>
        <w:tabs>
          <w:tab w:val="left" w:pos="1440"/>
        </w:tabs>
        <w:ind w:left="1440" w:hanging="720"/>
      </w:pPr>
      <w:rPr>
        <w:rFonts w:cs="Times New Roman"/>
      </w:rPr>
    </w:lvl>
    <w:lvl w:ilvl="2" w:tentative="0">
      <w:start w:val="1"/>
      <w:numFmt w:val="decimal"/>
      <w:lvlText w:val="%3."/>
      <w:lvlJc w:val="left"/>
      <w:pPr>
        <w:tabs>
          <w:tab w:val="left" w:pos="2160"/>
        </w:tabs>
        <w:ind w:left="2160" w:hanging="720"/>
      </w:pPr>
      <w:rPr>
        <w:rFonts w:cs="Times New Roman"/>
      </w:rPr>
    </w:lvl>
    <w:lvl w:ilvl="3" w:tentative="0">
      <w:start w:val="1"/>
      <w:numFmt w:val="decimal"/>
      <w:lvlText w:val="%4."/>
      <w:lvlJc w:val="left"/>
      <w:pPr>
        <w:tabs>
          <w:tab w:val="left" w:pos="2880"/>
        </w:tabs>
        <w:ind w:left="2880" w:hanging="720"/>
      </w:pPr>
      <w:rPr>
        <w:rFonts w:cs="Times New Roman"/>
      </w:rPr>
    </w:lvl>
    <w:lvl w:ilvl="4" w:tentative="0">
      <w:start w:val="1"/>
      <w:numFmt w:val="decimal"/>
      <w:lvlText w:val="%5."/>
      <w:lvlJc w:val="left"/>
      <w:pPr>
        <w:tabs>
          <w:tab w:val="left" w:pos="3600"/>
        </w:tabs>
        <w:ind w:left="3600" w:hanging="720"/>
      </w:pPr>
      <w:rPr>
        <w:rFonts w:cs="Times New Roman"/>
      </w:rPr>
    </w:lvl>
    <w:lvl w:ilvl="5" w:tentative="0">
      <w:start w:val="1"/>
      <w:numFmt w:val="decimal"/>
      <w:lvlText w:val="%6."/>
      <w:lvlJc w:val="left"/>
      <w:pPr>
        <w:tabs>
          <w:tab w:val="left" w:pos="4320"/>
        </w:tabs>
        <w:ind w:left="4320" w:hanging="720"/>
      </w:pPr>
      <w:rPr>
        <w:rFonts w:cs="Times New Roman"/>
      </w:rPr>
    </w:lvl>
    <w:lvl w:ilvl="6" w:tentative="0">
      <w:start w:val="1"/>
      <w:numFmt w:val="decimal"/>
      <w:lvlText w:val="%7."/>
      <w:lvlJc w:val="left"/>
      <w:pPr>
        <w:tabs>
          <w:tab w:val="left" w:pos="5040"/>
        </w:tabs>
        <w:ind w:left="5040" w:hanging="720"/>
      </w:pPr>
      <w:rPr>
        <w:rFonts w:cs="Times New Roman"/>
      </w:rPr>
    </w:lvl>
    <w:lvl w:ilvl="7" w:tentative="0">
      <w:start w:val="1"/>
      <w:numFmt w:val="decimal"/>
      <w:lvlText w:val="%8."/>
      <w:lvlJc w:val="left"/>
      <w:pPr>
        <w:tabs>
          <w:tab w:val="left" w:pos="5760"/>
        </w:tabs>
        <w:ind w:left="5760" w:hanging="720"/>
      </w:pPr>
      <w:rPr>
        <w:rFonts w:cs="Times New Roman"/>
      </w:rPr>
    </w:lvl>
    <w:lvl w:ilvl="8" w:tentative="0">
      <w:start w:val="1"/>
      <w:numFmt w:val="decimal"/>
      <w:lvlText w:val="%9."/>
      <w:lvlJc w:val="left"/>
      <w:pPr>
        <w:tabs>
          <w:tab w:val="left" w:pos="6480"/>
        </w:tabs>
        <w:ind w:left="6480" w:hanging="720"/>
      </w:pPr>
      <w:rPr>
        <w:rFonts w:cs="Times New Roman"/>
      </w:rPr>
    </w:lvl>
  </w:abstractNum>
  <w:abstractNum w:abstractNumId="2">
    <w:nsid w:val="646260FA"/>
    <w:multiLevelType w:val="multilevel"/>
    <w:tmpl w:val="646260FA"/>
    <w:lvl w:ilvl="0" w:tentative="0">
      <w:start w:val="1"/>
      <w:numFmt w:val="decimal"/>
      <w:pStyle w:val="32"/>
      <w:suff w:val="nothing"/>
      <w:lvlText w:val="表%1　"/>
      <w:lvlJc w:val="left"/>
      <w:rPr>
        <w:rFonts w:hint="eastAsia" w:ascii="黑体" w:hAnsi="Times New Roman" w:eastAsia="黑体" w:cs="Times New Roman"/>
        <w:b w:val="0"/>
        <w:i w:val="0"/>
        <w:sz w:val="21"/>
      </w:rPr>
    </w:lvl>
    <w:lvl w:ilvl="1" w:tentative="0">
      <w:start w:val="1"/>
      <w:numFmt w:val="decimal"/>
      <w:pStyle w:val="13"/>
      <w:lvlText w:val="%1.%2"/>
      <w:lvlJc w:val="left"/>
      <w:pPr>
        <w:tabs>
          <w:tab w:val="left" w:pos="992"/>
        </w:tabs>
        <w:ind w:left="992" w:hanging="567"/>
      </w:pPr>
      <w:rPr>
        <w:rFonts w:hint="eastAsia" w:cs="Times New Roman"/>
      </w:rPr>
    </w:lvl>
    <w:lvl w:ilvl="2" w:tentative="0">
      <w:start w:val="1"/>
      <w:numFmt w:val="decimal"/>
      <w:pStyle w:val="15"/>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num w:numId="1">
    <w:abstractNumId w:val="2"/>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formatting="1" w:enforcement="1" w:cryptProviderType="rsaFull" w:cryptAlgorithmClass="hash" w:cryptAlgorithmType="typeAny" w:cryptAlgorithmSid="4" w:cryptSpinCount="0" w:hash="HArw8q7XhOrzNCQmWpkpL4CnaRE=" w:salt="7MIsDEFRQQpvtBmYH864Jg=="/>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959"/>
    <w:rsid w:val="00007420"/>
    <w:rsid w:val="000106A2"/>
    <w:rsid w:val="0001149A"/>
    <w:rsid w:val="0001750B"/>
    <w:rsid w:val="000277E5"/>
    <w:rsid w:val="00081B87"/>
    <w:rsid w:val="00083DC2"/>
    <w:rsid w:val="00084B4B"/>
    <w:rsid w:val="00091E12"/>
    <w:rsid w:val="000A5D63"/>
    <w:rsid w:val="000F1208"/>
    <w:rsid w:val="00123FB9"/>
    <w:rsid w:val="001252EA"/>
    <w:rsid w:val="001303F7"/>
    <w:rsid w:val="00137A08"/>
    <w:rsid w:val="00145071"/>
    <w:rsid w:val="00146E84"/>
    <w:rsid w:val="0015210A"/>
    <w:rsid w:val="001541A4"/>
    <w:rsid w:val="0016171A"/>
    <w:rsid w:val="00185E10"/>
    <w:rsid w:val="00186728"/>
    <w:rsid w:val="001A5C66"/>
    <w:rsid w:val="001B37AB"/>
    <w:rsid w:val="001C4E35"/>
    <w:rsid w:val="001C5913"/>
    <w:rsid w:val="001D2CD1"/>
    <w:rsid w:val="001F6DCE"/>
    <w:rsid w:val="002135E4"/>
    <w:rsid w:val="00244257"/>
    <w:rsid w:val="002605A3"/>
    <w:rsid w:val="00280780"/>
    <w:rsid w:val="00285437"/>
    <w:rsid w:val="002A4AFC"/>
    <w:rsid w:val="002A5893"/>
    <w:rsid w:val="002B27E7"/>
    <w:rsid w:val="002B2DD2"/>
    <w:rsid w:val="002C7018"/>
    <w:rsid w:val="002D06C9"/>
    <w:rsid w:val="002D0E66"/>
    <w:rsid w:val="002E144F"/>
    <w:rsid w:val="002F29B7"/>
    <w:rsid w:val="00327F13"/>
    <w:rsid w:val="00330900"/>
    <w:rsid w:val="003608A2"/>
    <w:rsid w:val="00364B51"/>
    <w:rsid w:val="003654BE"/>
    <w:rsid w:val="00370A5F"/>
    <w:rsid w:val="003862EB"/>
    <w:rsid w:val="003A1FF2"/>
    <w:rsid w:val="003B5619"/>
    <w:rsid w:val="003B71F1"/>
    <w:rsid w:val="003C26CD"/>
    <w:rsid w:val="003C5944"/>
    <w:rsid w:val="003C7CF1"/>
    <w:rsid w:val="003D0995"/>
    <w:rsid w:val="003F702F"/>
    <w:rsid w:val="003F7035"/>
    <w:rsid w:val="00410393"/>
    <w:rsid w:val="00411E46"/>
    <w:rsid w:val="0044436C"/>
    <w:rsid w:val="0044514C"/>
    <w:rsid w:val="00451460"/>
    <w:rsid w:val="00455A63"/>
    <w:rsid w:val="004632A8"/>
    <w:rsid w:val="0046520B"/>
    <w:rsid w:val="00484959"/>
    <w:rsid w:val="004945C2"/>
    <w:rsid w:val="004C28F3"/>
    <w:rsid w:val="004C4F90"/>
    <w:rsid w:val="004E45F6"/>
    <w:rsid w:val="004E6403"/>
    <w:rsid w:val="00500135"/>
    <w:rsid w:val="00543872"/>
    <w:rsid w:val="00547F72"/>
    <w:rsid w:val="00555454"/>
    <w:rsid w:val="00555A3B"/>
    <w:rsid w:val="00562C95"/>
    <w:rsid w:val="005B0049"/>
    <w:rsid w:val="005E7ACA"/>
    <w:rsid w:val="005E7E01"/>
    <w:rsid w:val="005F143F"/>
    <w:rsid w:val="005F5389"/>
    <w:rsid w:val="005F57C7"/>
    <w:rsid w:val="005F7B4A"/>
    <w:rsid w:val="00601EEE"/>
    <w:rsid w:val="00604DBD"/>
    <w:rsid w:val="00611F1D"/>
    <w:rsid w:val="00627E7F"/>
    <w:rsid w:val="00643AF9"/>
    <w:rsid w:val="00667E90"/>
    <w:rsid w:val="00675E27"/>
    <w:rsid w:val="006837B5"/>
    <w:rsid w:val="006A0BA5"/>
    <w:rsid w:val="006C2710"/>
    <w:rsid w:val="006C6907"/>
    <w:rsid w:val="006E2EDB"/>
    <w:rsid w:val="006E541A"/>
    <w:rsid w:val="006F2D48"/>
    <w:rsid w:val="00716B10"/>
    <w:rsid w:val="0071713D"/>
    <w:rsid w:val="007310F4"/>
    <w:rsid w:val="00743857"/>
    <w:rsid w:val="00765E7F"/>
    <w:rsid w:val="0077049B"/>
    <w:rsid w:val="007834C1"/>
    <w:rsid w:val="007953EF"/>
    <w:rsid w:val="007A05EF"/>
    <w:rsid w:val="007C31C1"/>
    <w:rsid w:val="007D1A7E"/>
    <w:rsid w:val="007D67F9"/>
    <w:rsid w:val="007E5F79"/>
    <w:rsid w:val="007F720B"/>
    <w:rsid w:val="007F7AA3"/>
    <w:rsid w:val="0080019B"/>
    <w:rsid w:val="00816130"/>
    <w:rsid w:val="00817549"/>
    <w:rsid w:val="008336FD"/>
    <w:rsid w:val="00846481"/>
    <w:rsid w:val="008476BF"/>
    <w:rsid w:val="0085077B"/>
    <w:rsid w:val="00865567"/>
    <w:rsid w:val="00882123"/>
    <w:rsid w:val="00885674"/>
    <w:rsid w:val="008953B7"/>
    <w:rsid w:val="008C3C92"/>
    <w:rsid w:val="008C5EAD"/>
    <w:rsid w:val="008C5ECC"/>
    <w:rsid w:val="008D5DB5"/>
    <w:rsid w:val="00906573"/>
    <w:rsid w:val="009224D0"/>
    <w:rsid w:val="00942C0D"/>
    <w:rsid w:val="00942EA8"/>
    <w:rsid w:val="009600A7"/>
    <w:rsid w:val="009612CD"/>
    <w:rsid w:val="00962C8B"/>
    <w:rsid w:val="00963FD6"/>
    <w:rsid w:val="0096464E"/>
    <w:rsid w:val="00973536"/>
    <w:rsid w:val="00987239"/>
    <w:rsid w:val="00994FFB"/>
    <w:rsid w:val="009C085F"/>
    <w:rsid w:val="009C6DDA"/>
    <w:rsid w:val="009D2012"/>
    <w:rsid w:val="009F24E7"/>
    <w:rsid w:val="00A24971"/>
    <w:rsid w:val="00A272B5"/>
    <w:rsid w:val="00A466D7"/>
    <w:rsid w:val="00A505C9"/>
    <w:rsid w:val="00A63A4C"/>
    <w:rsid w:val="00A670F8"/>
    <w:rsid w:val="00A75A02"/>
    <w:rsid w:val="00A76CE1"/>
    <w:rsid w:val="00AC4552"/>
    <w:rsid w:val="00AC45EE"/>
    <w:rsid w:val="00B57119"/>
    <w:rsid w:val="00B73AB0"/>
    <w:rsid w:val="00B77E25"/>
    <w:rsid w:val="00B83663"/>
    <w:rsid w:val="00B978A3"/>
    <w:rsid w:val="00BB5427"/>
    <w:rsid w:val="00BC3FAB"/>
    <w:rsid w:val="00BF57F3"/>
    <w:rsid w:val="00C00772"/>
    <w:rsid w:val="00C0635B"/>
    <w:rsid w:val="00C116E2"/>
    <w:rsid w:val="00C13A39"/>
    <w:rsid w:val="00C1403D"/>
    <w:rsid w:val="00C20BE4"/>
    <w:rsid w:val="00C21AEA"/>
    <w:rsid w:val="00C2248E"/>
    <w:rsid w:val="00C40855"/>
    <w:rsid w:val="00C41F80"/>
    <w:rsid w:val="00C45F07"/>
    <w:rsid w:val="00C55C51"/>
    <w:rsid w:val="00C57DCC"/>
    <w:rsid w:val="00C6210B"/>
    <w:rsid w:val="00C66646"/>
    <w:rsid w:val="00C836E2"/>
    <w:rsid w:val="00CA57E9"/>
    <w:rsid w:val="00CB0147"/>
    <w:rsid w:val="00CC2BE9"/>
    <w:rsid w:val="00CE3C7D"/>
    <w:rsid w:val="00D01150"/>
    <w:rsid w:val="00D06C25"/>
    <w:rsid w:val="00D36D0E"/>
    <w:rsid w:val="00D47FC1"/>
    <w:rsid w:val="00D80F35"/>
    <w:rsid w:val="00D84521"/>
    <w:rsid w:val="00D951FD"/>
    <w:rsid w:val="00DE02B8"/>
    <w:rsid w:val="00E02926"/>
    <w:rsid w:val="00E26E0A"/>
    <w:rsid w:val="00E418CC"/>
    <w:rsid w:val="00E618C7"/>
    <w:rsid w:val="00E8368B"/>
    <w:rsid w:val="00E86BA7"/>
    <w:rsid w:val="00EA0F11"/>
    <w:rsid w:val="00EB75B9"/>
    <w:rsid w:val="00EF39EB"/>
    <w:rsid w:val="00EF40C7"/>
    <w:rsid w:val="00EF77A7"/>
    <w:rsid w:val="00F02D42"/>
    <w:rsid w:val="00F13C1B"/>
    <w:rsid w:val="00F26542"/>
    <w:rsid w:val="00F6255F"/>
    <w:rsid w:val="00F669A6"/>
    <w:rsid w:val="00F739E1"/>
    <w:rsid w:val="00F80960"/>
    <w:rsid w:val="00F80FF3"/>
    <w:rsid w:val="00F85135"/>
    <w:rsid w:val="00F911C4"/>
    <w:rsid w:val="00F97B8E"/>
    <w:rsid w:val="00FB4D43"/>
    <w:rsid w:val="00FC2424"/>
    <w:rsid w:val="00FC2BBF"/>
    <w:rsid w:val="00FC3490"/>
    <w:rsid w:val="00FC68FD"/>
    <w:rsid w:val="00FD169F"/>
    <w:rsid w:val="00FD2DA1"/>
    <w:rsid w:val="00FD6ECF"/>
    <w:rsid w:val="00FD7D67"/>
    <w:rsid w:val="00FE1662"/>
    <w:rsid w:val="00FE30CD"/>
    <w:rsid w:val="00FE6444"/>
    <w:rsid w:val="0C8B400B"/>
    <w:rsid w:val="13E6225A"/>
    <w:rsid w:val="16855AD5"/>
    <w:rsid w:val="1BE77A69"/>
    <w:rsid w:val="1C705C8B"/>
    <w:rsid w:val="1F272C8C"/>
    <w:rsid w:val="26BB5133"/>
    <w:rsid w:val="2A6A50B9"/>
    <w:rsid w:val="31DE15F5"/>
    <w:rsid w:val="32F1588F"/>
    <w:rsid w:val="365A20BF"/>
    <w:rsid w:val="37F4691C"/>
    <w:rsid w:val="395A3C41"/>
    <w:rsid w:val="3ABF1B92"/>
    <w:rsid w:val="43DC387C"/>
    <w:rsid w:val="4A1438C7"/>
    <w:rsid w:val="4D4715BF"/>
    <w:rsid w:val="659A0D11"/>
    <w:rsid w:val="6E8203EA"/>
    <w:rsid w:val="760522A0"/>
    <w:rsid w:val="7B6F48F2"/>
    <w:rsid w:val="7D156C4D"/>
    <w:rsid w:val="7F2F667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toc 3"/>
    <w:basedOn w:val="1"/>
    <w:next w:val="1"/>
    <w:qFormat/>
    <w:uiPriority w:val="99"/>
    <w:pPr>
      <w:tabs>
        <w:tab w:val="right" w:leader="dot" w:pos="9241"/>
      </w:tabs>
      <w:ind w:firstLine="102" w:firstLineChars="100"/>
      <w:jc w:val="left"/>
    </w:pPr>
    <w:rPr>
      <w:rFonts w:ascii="宋体"/>
      <w:szCs w:val="21"/>
    </w:rPr>
  </w:style>
  <w:style w:type="paragraph" w:styleId="3">
    <w:name w:val="Date"/>
    <w:basedOn w:val="1"/>
    <w:next w:val="1"/>
    <w:link w:val="40"/>
    <w:qFormat/>
    <w:uiPriority w:val="99"/>
    <w:pPr>
      <w:ind w:left="100" w:leftChars="2500"/>
    </w:pPr>
  </w:style>
  <w:style w:type="paragraph" w:styleId="4">
    <w:name w:val="footer"/>
    <w:basedOn w:val="1"/>
    <w:link w:val="39"/>
    <w:qFormat/>
    <w:uiPriority w:val="99"/>
    <w:pPr>
      <w:tabs>
        <w:tab w:val="center" w:pos="4153"/>
        <w:tab w:val="right" w:pos="8306"/>
      </w:tabs>
      <w:snapToGrid w:val="0"/>
      <w:jc w:val="left"/>
    </w:pPr>
    <w:rPr>
      <w:sz w:val="18"/>
      <w:szCs w:val="18"/>
    </w:rPr>
  </w:style>
  <w:style w:type="paragraph" w:styleId="5">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99"/>
    <w:pPr>
      <w:tabs>
        <w:tab w:val="right" w:leader="dot" w:pos="9241"/>
      </w:tabs>
      <w:spacing w:beforeLines="25" w:afterLines="25"/>
      <w:jc w:val="left"/>
    </w:pPr>
    <w:rPr>
      <w:rFonts w:ascii="宋体"/>
      <w:szCs w:val="21"/>
    </w:rPr>
  </w:style>
  <w:style w:type="character" w:styleId="8">
    <w:name w:val="Hyperlink"/>
    <w:basedOn w:val="7"/>
    <w:uiPriority w:val="99"/>
    <w:rPr>
      <w:rFonts w:cs="Times New Roman"/>
      <w:color w:val="0000FF"/>
      <w:spacing w:val="0"/>
      <w:w w:val="100"/>
      <w:sz w:val="21"/>
      <w:szCs w:val="21"/>
      <w:u w:val="single"/>
      <w:lang w:val="en-US" w:eastAsia="zh-CN"/>
    </w:rPr>
  </w:style>
  <w:style w:type="character" w:customStyle="1" w:styleId="10">
    <w:name w:val="段 Char"/>
    <w:basedOn w:val="7"/>
    <w:link w:val="11"/>
    <w:qFormat/>
    <w:locked/>
    <w:uiPriority w:val="99"/>
    <w:rPr>
      <w:rFonts w:ascii="宋体" w:eastAsia="Times New Roman" w:cs="Times New Roman"/>
      <w:sz w:val="21"/>
      <w:lang w:val="en-US" w:eastAsia="zh-CN" w:bidi="ar-SA"/>
    </w:rPr>
  </w:style>
  <w:style w:type="paragraph" w:customStyle="1" w:styleId="11">
    <w:name w:val="段"/>
    <w:link w:val="10"/>
    <w:qFormat/>
    <w:uiPriority w:val="99"/>
    <w:pPr>
      <w:tabs>
        <w:tab w:val="center" w:pos="4201"/>
        <w:tab w:val="right" w:leader="dot" w:pos="9298"/>
      </w:tabs>
      <w:autoSpaceDE w:val="0"/>
      <w:autoSpaceDN w:val="0"/>
      <w:ind w:firstLine="420" w:firstLineChars="200"/>
      <w:jc w:val="both"/>
    </w:pPr>
    <w:rPr>
      <w:rFonts w:ascii="宋体" w:hAnsi="Times New Roman" w:eastAsia="Times New Roman" w:cs="Times New Roman"/>
      <w:kern w:val="0"/>
      <w:sz w:val="21"/>
      <w:szCs w:val="20"/>
      <w:lang w:val="en-US" w:eastAsia="zh-CN" w:bidi="ar-SA"/>
    </w:rPr>
  </w:style>
  <w:style w:type="paragraph" w:customStyle="1" w:styleId="12">
    <w:name w:val="封面标准号2"/>
    <w:qFormat/>
    <w:uiPriority w:val="99"/>
    <w:pPr>
      <w:spacing w:before="357" w:line="280" w:lineRule="exact"/>
      <w:jc w:val="right"/>
    </w:pPr>
    <w:rPr>
      <w:rFonts w:ascii="黑体" w:hAnsi="Times New Roman" w:eastAsia="黑体" w:cs="Times New Roman"/>
      <w:kern w:val="0"/>
      <w:sz w:val="28"/>
      <w:szCs w:val="28"/>
      <w:lang w:val="en-US" w:eastAsia="zh-CN" w:bidi="ar-SA"/>
    </w:rPr>
  </w:style>
  <w:style w:type="paragraph" w:customStyle="1" w:styleId="13">
    <w:name w:val="一级条标题"/>
    <w:next w:val="11"/>
    <w:qFormat/>
    <w:uiPriority w:val="99"/>
    <w:pPr>
      <w:numPr>
        <w:ilvl w:val="1"/>
        <w:numId w:val="1"/>
      </w:numPr>
      <w:spacing w:beforeLines="50" w:afterLines="50"/>
      <w:outlineLvl w:val="2"/>
    </w:pPr>
    <w:rPr>
      <w:rFonts w:ascii="黑体" w:hAnsi="Times New Roman" w:eastAsia="黑体" w:cs="Times New Roman"/>
      <w:kern w:val="0"/>
      <w:sz w:val="21"/>
      <w:szCs w:val="21"/>
      <w:lang w:val="en-US" w:eastAsia="zh-CN" w:bidi="ar-SA"/>
    </w:rPr>
  </w:style>
  <w:style w:type="paragraph" w:customStyle="1" w:styleId="14">
    <w:name w:val="标准称谓"/>
    <w:next w:val="1"/>
    <w:qFormat/>
    <w:uiPriority w:val="99"/>
    <w:pPr>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48"/>
      <w:szCs w:val="20"/>
      <w:lang w:val="en-US" w:eastAsia="zh-CN" w:bidi="ar-SA"/>
    </w:rPr>
  </w:style>
  <w:style w:type="paragraph" w:customStyle="1" w:styleId="15">
    <w:name w:val="二级条标题"/>
    <w:basedOn w:val="13"/>
    <w:next w:val="11"/>
    <w:uiPriority w:val="99"/>
    <w:pPr>
      <w:numPr>
        <w:ilvl w:val="2"/>
      </w:numPr>
      <w:spacing w:beforeLines="0" w:afterLines="0"/>
      <w:outlineLvl w:val="3"/>
    </w:pPr>
  </w:style>
  <w:style w:type="paragraph" w:customStyle="1" w:styleId="16">
    <w:name w:val="封面标准代替信息"/>
    <w:qFormat/>
    <w:uiPriority w:val="99"/>
    <w:pPr>
      <w:spacing w:before="57" w:line="280" w:lineRule="exact"/>
      <w:jc w:val="right"/>
    </w:pPr>
    <w:rPr>
      <w:rFonts w:ascii="宋体" w:hAnsi="Times New Roman" w:eastAsia="宋体" w:cs="Times New Roman"/>
      <w:kern w:val="0"/>
      <w:sz w:val="21"/>
      <w:szCs w:val="21"/>
      <w:lang w:val="en-US" w:eastAsia="zh-CN" w:bidi="ar-SA"/>
    </w:rPr>
  </w:style>
  <w:style w:type="paragraph" w:customStyle="1" w:styleId="17">
    <w:name w:val="封面标准文稿编辑信息"/>
    <w:basedOn w:val="18"/>
    <w:qFormat/>
    <w:uiPriority w:val="99"/>
    <w:pPr>
      <w:spacing w:before="180" w:line="180" w:lineRule="exact"/>
    </w:pPr>
    <w:rPr>
      <w:sz w:val="21"/>
    </w:rPr>
  </w:style>
  <w:style w:type="paragraph" w:customStyle="1" w:styleId="18">
    <w:name w:val="封面标准文稿类别"/>
    <w:basedOn w:val="19"/>
    <w:qFormat/>
    <w:uiPriority w:val="99"/>
    <w:pPr>
      <w:spacing w:after="160" w:line="240" w:lineRule="auto"/>
    </w:pPr>
    <w:rPr>
      <w:sz w:val="24"/>
    </w:rPr>
  </w:style>
  <w:style w:type="paragraph" w:customStyle="1" w:styleId="19">
    <w:name w:val="封面一致性程度标识"/>
    <w:basedOn w:val="20"/>
    <w:qFormat/>
    <w:uiPriority w:val="99"/>
    <w:pPr>
      <w:spacing w:before="440"/>
    </w:pPr>
    <w:rPr>
      <w:rFonts w:ascii="宋体" w:eastAsia="宋体"/>
    </w:rPr>
  </w:style>
  <w:style w:type="paragraph" w:customStyle="1" w:styleId="20">
    <w:name w:val="封面标准英文名称"/>
    <w:basedOn w:val="21"/>
    <w:qFormat/>
    <w:uiPriority w:val="99"/>
    <w:pPr>
      <w:spacing w:before="370" w:line="400" w:lineRule="exact"/>
    </w:pPr>
    <w:rPr>
      <w:rFonts w:ascii="Times New Roman"/>
      <w:sz w:val="28"/>
      <w:szCs w:val="28"/>
    </w:rPr>
  </w:style>
  <w:style w:type="paragraph" w:customStyle="1" w:styleId="21">
    <w:name w:val="封面标准名称"/>
    <w:qFormat/>
    <w:uiPriority w:val="99"/>
    <w:pPr>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22">
    <w:name w:val="参考文献"/>
    <w:basedOn w:val="1"/>
    <w:next w:val="11"/>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23">
    <w:name w:val="其他发布日期"/>
    <w:basedOn w:val="1"/>
    <w:qFormat/>
    <w:uiPriority w:val="99"/>
    <w:pPr>
      <w:widowControl/>
      <w:jc w:val="left"/>
    </w:pPr>
    <w:rPr>
      <w:rFonts w:eastAsia="黑体"/>
      <w:kern w:val="0"/>
      <w:sz w:val="28"/>
      <w:szCs w:val="20"/>
    </w:rPr>
  </w:style>
  <w:style w:type="paragraph" w:customStyle="1" w:styleId="24">
    <w:name w:val="注："/>
    <w:next w:val="11"/>
    <w:qFormat/>
    <w:uiPriority w:val="99"/>
    <w:pPr>
      <w:widowControl w:val="0"/>
      <w:numPr>
        <w:ilvl w:val="0"/>
        <w:numId w:val="2"/>
      </w:numPr>
      <w:autoSpaceDE w:val="0"/>
      <w:autoSpaceDN w:val="0"/>
      <w:jc w:val="both"/>
    </w:pPr>
    <w:rPr>
      <w:rFonts w:ascii="宋体" w:hAnsi="Times New Roman" w:eastAsia="宋体" w:cs="Times New Roman"/>
      <w:kern w:val="0"/>
      <w:sz w:val="18"/>
      <w:szCs w:val="18"/>
      <w:lang w:val="en-US" w:eastAsia="zh-CN" w:bidi="ar-SA"/>
    </w:rPr>
  </w:style>
  <w:style w:type="paragraph" w:customStyle="1" w:styleId="25">
    <w:name w:val="文献分类号"/>
    <w:qFormat/>
    <w:uiPriority w:val="99"/>
    <w:pPr>
      <w:widowControl w:val="0"/>
      <w:textAlignment w:val="center"/>
    </w:pPr>
    <w:rPr>
      <w:rFonts w:ascii="黑体" w:hAnsi="Times New Roman" w:eastAsia="黑体" w:cs="Times New Roman"/>
      <w:kern w:val="0"/>
      <w:sz w:val="21"/>
      <w:szCs w:val="21"/>
      <w:lang w:val="en-US" w:eastAsia="zh-CN" w:bidi="ar-SA"/>
    </w:rPr>
  </w:style>
  <w:style w:type="paragraph" w:customStyle="1" w:styleId="26">
    <w:name w:val="其他实施日期"/>
    <w:basedOn w:val="1"/>
    <w:qFormat/>
    <w:uiPriority w:val="99"/>
    <w:pPr>
      <w:widowControl/>
      <w:jc w:val="right"/>
    </w:pPr>
    <w:rPr>
      <w:rFonts w:eastAsia="黑体"/>
      <w:kern w:val="0"/>
      <w:sz w:val="28"/>
      <w:szCs w:val="20"/>
    </w:rPr>
  </w:style>
  <w:style w:type="paragraph" w:customStyle="1" w:styleId="27">
    <w:name w:val="终结线"/>
    <w:basedOn w:val="1"/>
    <w:qFormat/>
    <w:uiPriority w:val="99"/>
  </w:style>
  <w:style w:type="paragraph" w:customStyle="1" w:styleId="28">
    <w:name w:val="发布部门"/>
    <w:next w:val="11"/>
    <w:qFormat/>
    <w:uiPriority w:val="99"/>
    <w:pPr>
      <w:jc w:val="center"/>
    </w:pPr>
    <w:rPr>
      <w:rFonts w:ascii="宋体" w:hAnsi="Times New Roman" w:eastAsia="宋体" w:cs="Times New Roman"/>
      <w:b/>
      <w:spacing w:val="20"/>
      <w:w w:val="135"/>
      <w:kern w:val="0"/>
      <w:sz w:val="28"/>
      <w:szCs w:val="20"/>
      <w:lang w:val="en-US" w:eastAsia="zh-CN" w:bidi="ar-SA"/>
    </w:rPr>
  </w:style>
  <w:style w:type="paragraph" w:customStyle="1" w:styleId="29">
    <w:name w:val="标准标志"/>
    <w:next w:val="1"/>
    <w:uiPriority w:val="99"/>
    <w:pPr>
      <w:shd w:val="solid" w:color="FFFFFF" w:fill="FFFFFF"/>
      <w:spacing w:line="240" w:lineRule="atLeast"/>
      <w:jc w:val="right"/>
    </w:pPr>
    <w:rPr>
      <w:rFonts w:ascii="Times New Roman" w:hAnsi="Times New Roman" w:eastAsia="宋体" w:cs="Times New Roman"/>
      <w:b/>
      <w:w w:val="170"/>
      <w:kern w:val="0"/>
      <w:sz w:val="96"/>
      <w:szCs w:val="96"/>
      <w:lang w:val="en-US" w:eastAsia="zh-CN" w:bidi="ar-SA"/>
    </w:rPr>
  </w:style>
  <w:style w:type="paragraph" w:customStyle="1" w:styleId="30">
    <w:name w:val="二级无"/>
    <w:basedOn w:val="15"/>
    <w:qFormat/>
    <w:uiPriority w:val="99"/>
    <w:rPr>
      <w:rFonts w:ascii="宋体" w:eastAsia="宋体"/>
    </w:rPr>
  </w:style>
  <w:style w:type="paragraph" w:customStyle="1" w:styleId="31">
    <w:name w:val="标准书眉_奇数页"/>
    <w:next w:val="1"/>
    <w:qFormat/>
    <w:uiPriority w:val="99"/>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paragraph" w:customStyle="1" w:styleId="32">
    <w:name w:val="章标题"/>
    <w:next w:val="11"/>
    <w:qFormat/>
    <w:uiPriority w:val="99"/>
    <w:pPr>
      <w:numPr>
        <w:ilvl w:val="0"/>
        <w:numId w:val="1"/>
      </w:num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33">
    <w:name w:val="标准书脚_奇数页"/>
    <w:qFormat/>
    <w:uiPriority w:val="99"/>
    <w:pPr>
      <w:spacing w:before="120"/>
      <w:ind w:right="198"/>
      <w:jc w:val="right"/>
    </w:pPr>
    <w:rPr>
      <w:rFonts w:ascii="宋体" w:hAnsi="Times New Roman" w:eastAsia="宋体" w:cs="Times New Roman"/>
      <w:kern w:val="0"/>
      <w:sz w:val="18"/>
      <w:szCs w:val="18"/>
      <w:lang w:val="en-US" w:eastAsia="zh-CN" w:bidi="ar-SA"/>
    </w:rPr>
  </w:style>
  <w:style w:type="paragraph" w:customStyle="1" w:styleId="34">
    <w:name w:val="注×："/>
    <w:qFormat/>
    <w:uiPriority w:val="99"/>
    <w:pPr>
      <w:widowControl w:val="0"/>
      <w:numPr>
        <w:ilvl w:val="0"/>
        <w:numId w:val="3"/>
      </w:numPr>
      <w:tabs>
        <w:tab w:val="left" w:pos="720"/>
      </w:tabs>
      <w:autoSpaceDE w:val="0"/>
      <w:autoSpaceDN w:val="0"/>
      <w:jc w:val="both"/>
    </w:pPr>
    <w:rPr>
      <w:rFonts w:ascii="宋体" w:hAnsi="Times New Roman" w:eastAsia="宋体" w:cs="Times New Roman"/>
      <w:kern w:val="0"/>
      <w:sz w:val="18"/>
      <w:szCs w:val="18"/>
      <w:lang w:val="en-US" w:eastAsia="zh-CN" w:bidi="ar-SA"/>
    </w:rPr>
  </w:style>
  <w:style w:type="paragraph" w:customStyle="1" w:styleId="35">
    <w:name w:val="前言、引言标题"/>
    <w:next w:val="11"/>
    <w:qFormat/>
    <w:uiPriority w:val="99"/>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36">
    <w:name w:val="目次、标准名称标题"/>
    <w:basedOn w:val="1"/>
    <w:next w:val="11"/>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7">
    <w:name w:val="正文表标题"/>
    <w:next w:val="11"/>
    <w:qFormat/>
    <w:uiPriority w:val="99"/>
    <w:pPr>
      <w:numPr>
        <w:ilvl w:val="0"/>
        <w:numId w:val="4"/>
      </w:numPr>
      <w:tabs>
        <w:tab w:val="left" w:pos="360"/>
        <w:tab w:val="left" w:pos="720"/>
      </w:tabs>
      <w:spacing w:beforeLines="50" w:afterLines="50"/>
      <w:jc w:val="center"/>
    </w:pPr>
    <w:rPr>
      <w:rFonts w:ascii="黑体" w:hAnsi="Times New Roman" w:eastAsia="黑体" w:cs="Times New Roman"/>
      <w:kern w:val="0"/>
      <w:sz w:val="21"/>
      <w:szCs w:val="20"/>
      <w:lang w:val="en-US" w:eastAsia="zh-CN" w:bidi="ar-SA"/>
    </w:rPr>
  </w:style>
  <w:style w:type="character" w:customStyle="1" w:styleId="38">
    <w:name w:val="Header Char"/>
    <w:basedOn w:val="7"/>
    <w:link w:val="5"/>
    <w:semiHidden/>
    <w:qFormat/>
    <w:uiPriority w:val="99"/>
    <w:rPr>
      <w:sz w:val="18"/>
      <w:szCs w:val="18"/>
    </w:rPr>
  </w:style>
  <w:style w:type="character" w:customStyle="1" w:styleId="39">
    <w:name w:val="Footer Char"/>
    <w:basedOn w:val="7"/>
    <w:link w:val="4"/>
    <w:semiHidden/>
    <w:qFormat/>
    <w:uiPriority w:val="99"/>
    <w:rPr>
      <w:sz w:val="18"/>
      <w:szCs w:val="18"/>
    </w:rPr>
  </w:style>
  <w:style w:type="character" w:customStyle="1" w:styleId="40">
    <w:name w:val="Date Char"/>
    <w:basedOn w:val="7"/>
    <w:link w:val="3"/>
    <w:semiHidden/>
    <w:qFormat/>
    <w:uiPriority w:val="99"/>
    <w:rPr>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9</Pages>
  <Words>914</Words>
  <Characters>5216</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2017-10-30T09:47:00Z</dcterms:created>
  <dc:creator>user</dc:creator>
  <cp:lastModifiedBy>黄晓鹏</cp:lastModifiedBy>
  <dcterms:modified xsi:type="dcterms:W3CDTF">2017-11-29T01:42:47Z</dcterms:modified>
  <dc:title>ICS 03</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